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520BC" w14:textId="607F5FD4" w:rsidR="002832CA" w:rsidRPr="00E56DBC" w:rsidRDefault="004B7B0F" w:rsidP="002832CA">
      <w:pPr>
        <w:tabs>
          <w:tab w:val="right" w:pos="9360"/>
        </w:tabs>
        <w:spacing w:after="0"/>
        <w:rPr>
          <w:rFonts w:ascii="Times New Roman" w:hAnsi="Times New Roman"/>
          <w:b/>
          <w:i/>
          <w:sz w:val="24"/>
          <w:lang w:eastAsia="zh-CN"/>
        </w:rPr>
      </w:pPr>
      <w:r w:rsidRPr="00533E66">
        <w:rPr>
          <w:rFonts w:ascii="Times New Roman" w:hAnsi="Times New Roman"/>
          <w:b/>
          <w:sz w:val="24"/>
          <w:lang w:val="en-US"/>
        </w:rPr>
        <w:t xml:space="preserve">3GPP TSG RAN WG1 </w:t>
      </w:r>
      <w:r w:rsidR="007533EA">
        <w:rPr>
          <w:rFonts w:ascii="Times New Roman" w:hAnsi="Times New Roman"/>
          <w:b/>
          <w:sz w:val="24"/>
          <w:lang w:val="en-US"/>
        </w:rPr>
        <w:t>#96</w:t>
      </w:r>
      <w:r w:rsidR="002832CA" w:rsidRPr="00E56DBC">
        <w:rPr>
          <w:rFonts w:ascii="Times New Roman" w:hAnsi="Times New Roman"/>
          <w:b/>
          <w:sz w:val="24"/>
        </w:rPr>
        <w:tab/>
        <w:t xml:space="preserve">      R1-1</w:t>
      </w:r>
      <w:r>
        <w:rPr>
          <w:rFonts w:ascii="Times New Roman" w:hAnsi="Times New Roman"/>
          <w:b/>
          <w:sz w:val="24"/>
        </w:rPr>
        <w:t>90</w:t>
      </w:r>
      <w:r w:rsidR="007533EA">
        <w:rPr>
          <w:rFonts w:ascii="Times New Roman" w:hAnsi="Times New Roman"/>
          <w:b/>
          <w:sz w:val="24"/>
        </w:rPr>
        <w:t>2468</w:t>
      </w:r>
    </w:p>
    <w:p w14:paraId="3A1F17A5" w14:textId="77777777" w:rsidR="007533EA" w:rsidRPr="007533EA" w:rsidRDefault="007533EA" w:rsidP="007533EA">
      <w:pPr>
        <w:pStyle w:val="Header"/>
        <w:widowControl w:val="0"/>
        <w:tabs>
          <w:tab w:val="right" w:pos="8280"/>
          <w:tab w:val="right" w:pos="9781"/>
        </w:tabs>
        <w:ind w:right="-58"/>
        <w:rPr>
          <w:rFonts w:ascii="Times New Roman" w:hAnsi="Times New Roman"/>
          <w:b/>
          <w:bCs/>
          <w:sz w:val="24"/>
        </w:rPr>
      </w:pPr>
      <w:bookmarkStart w:id="0" w:name="Source"/>
      <w:bookmarkEnd w:id="0"/>
      <w:r w:rsidRPr="007533EA">
        <w:rPr>
          <w:rFonts w:ascii="Times New Roman" w:hAnsi="Times New Roman"/>
          <w:b/>
          <w:bCs/>
          <w:sz w:val="24"/>
        </w:rPr>
        <w:t>Athens, Greece, 25</w:t>
      </w:r>
      <w:r w:rsidRPr="007533EA">
        <w:rPr>
          <w:rFonts w:ascii="Times New Roman" w:hAnsi="Times New Roman"/>
          <w:b/>
          <w:bCs/>
          <w:sz w:val="24"/>
          <w:vertAlign w:val="superscript"/>
        </w:rPr>
        <w:t>th</w:t>
      </w:r>
      <w:r w:rsidRPr="007533EA">
        <w:rPr>
          <w:rFonts w:ascii="Times New Roman" w:hAnsi="Times New Roman"/>
          <w:b/>
          <w:bCs/>
          <w:sz w:val="24"/>
        </w:rPr>
        <w:t xml:space="preserve"> February – 1</w:t>
      </w:r>
      <w:r w:rsidRPr="007533EA">
        <w:rPr>
          <w:rFonts w:ascii="Times New Roman" w:hAnsi="Times New Roman"/>
          <w:b/>
          <w:bCs/>
          <w:sz w:val="24"/>
          <w:vertAlign w:val="superscript"/>
        </w:rPr>
        <w:t>st</w:t>
      </w:r>
      <w:r w:rsidRPr="007533EA">
        <w:rPr>
          <w:rFonts w:ascii="Times New Roman" w:hAnsi="Times New Roman"/>
          <w:b/>
          <w:bCs/>
          <w:sz w:val="24"/>
        </w:rPr>
        <w:t xml:space="preserve"> March, 2019</w:t>
      </w:r>
    </w:p>
    <w:p w14:paraId="3AC16CDF" w14:textId="77777777" w:rsidR="002832CA" w:rsidRPr="00E56DBC" w:rsidRDefault="002832CA" w:rsidP="002832CA">
      <w:pPr>
        <w:pStyle w:val="Header"/>
        <w:widowControl w:val="0"/>
        <w:tabs>
          <w:tab w:val="right" w:pos="8280"/>
          <w:tab w:val="right" w:pos="9781"/>
        </w:tabs>
        <w:spacing w:after="0"/>
        <w:ind w:right="-58"/>
        <w:rPr>
          <w:rFonts w:ascii="Times New Roman" w:eastAsia="MS Mincho" w:hAnsi="Times New Roman"/>
          <w:b/>
          <w:bCs/>
          <w:sz w:val="24"/>
          <w:lang w:eastAsia="ja-JP"/>
        </w:rPr>
      </w:pPr>
    </w:p>
    <w:p w14:paraId="297A819A" w14:textId="0DAA8D49" w:rsidR="002832CA" w:rsidRPr="00E56DBC" w:rsidRDefault="002832CA" w:rsidP="002832CA">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Pr="00E56DBC">
        <w:rPr>
          <w:rFonts w:ascii="Times New Roman" w:hAnsi="Times New Roman"/>
          <w:b/>
          <w:bCs/>
          <w:sz w:val="24"/>
          <w:lang w:val="en-US"/>
        </w:rPr>
        <w:tab/>
        <w:t>7.2.2.</w:t>
      </w:r>
      <w:r w:rsidR="007533EA">
        <w:rPr>
          <w:rFonts w:ascii="Times New Roman" w:hAnsi="Times New Roman"/>
          <w:b/>
          <w:bCs/>
          <w:sz w:val="24"/>
          <w:lang w:val="en-US"/>
        </w:rPr>
        <w:t>1</w:t>
      </w:r>
      <w:r w:rsidR="004B7B0F">
        <w:rPr>
          <w:rFonts w:ascii="Times New Roman" w:hAnsi="Times New Roman"/>
          <w:b/>
          <w:bCs/>
          <w:sz w:val="24"/>
          <w:lang w:val="en-US"/>
        </w:rPr>
        <w:t>.1</w:t>
      </w:r>
    </w:p>
    <w:p w14:paraId="5BCABB93" w14:textId="77777777" w:rsidR="002832CA" w:rsidRPr="00E56DBC" w:rsidRDefault="002832CA" w:rsidP="002832CA">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t>Intel Corporation</w:t>
      </w:r>
    </w:p>
    <w:p w14:paraId="0B8ACCF3" w14:textId="4574FE9D" w:rsidR="002832CA" w:rsidRPr="00E56DBC" w:rsidRDefault="002832CA" w:rsidP="002832CA">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r>
      <w:r w:rsidR="004B7B0F">
        <w:rPr>
          <w:rFonts w:ascii="Times New Roman" w:hAnsi="Times New Roman"/>
          <w:b/>
          <w:bCs/>
          <w:sz w:val="24"/>
          <w:lang w:val="en-US"/>
        </w:rPr>
        <w:t>Initial access signals/channels</w:t>
      </w:r>
      <w:r w:rsidRPr="00E56DBC">
        <w:rPr>
          <w:rFonts w:ascii="Times New Roman" w:hAnsi="Times New Roman"/>
          <w:b/>
          <w:bCs/>
          <w:sz w:val="24"/>
          <w:lang w:val="en-US"/>
        </w:rPr>
        <w:t xml:space="preserve"> for NR-unlicensed   </w:t>
      </w:r>
    </w:p>
    <w:p w14:paraId="66E531E2" w14:textId="77777777" w:rsidR="002832CA" w:rsidRPr="00E56DBC" w:rsidRDefault="002832CA" w:rsidP="002832CA">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p>
    <w:p w14:paraId="01B7A05E" w14:textId="77777777" w:rsidR="002832CA" w:rsidRPr="00E56DBC" w:rsidRDefault="002832CA" w:rsidP="002832CA">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 xml:space="preserve">Introduction </w:t>
      </w:r>
    </w:p>
    <w:p w14:paraId="1E5F9385" w14:textId="77777777" w:rsidR="004F7B93" w:rsidRDefault="004F7B93" w:rsidP="002832CA"/>
    <w:p w14:paraId="7C8FF3E3" w14:textId="5A30BC5D" w:rsidR="002832CA" w:rsidRDefault="00C328E8" w:rsidP="002832CA">
      <w:r>
        <w:t>In 3GPP TSG RAN Meeting #82, a new WID on NR-ba</w:t>
      </w:r>
      <w:bookmarkStart w:id="1" w:name="_GoBack"/>
      <w:bookmarkEnd w:id="1"/>
      <w:r>
        <w:t>sed access to Unlicensed Spectrum (RP-182878) [</w:t>
      </w:r>
      <w:hyperlink w:anchor="_Reference" w:history="1">
        <w:r w:rsidRPr="00521EDE">
          <w:rPr>
            <w:rStyle w:val="Hyperlink"/>
          </w:rPr>
          <w:t>1</w:t>
        </w:r>
      </w:hyperlink>
      <w:r>
        <w:t>] was approved. As part of the objectives of the work item, the following physical layer aspects related to the design of initial access signals and channels for unlicensed operation were suggested to be specified as per the outcome of the study item (TR38.889) [</w:t>
      </w:r>
      <w:hyperlink w:anchor="_Reference" w:history="1">
        <w:r w:rsidRPr="00521EDE">
          <w:rPr>
            <w:rStyle w:val="Hyperlink"/>
          </w:rPr>
          <w:t>2</w:t>
        </w:r>
      </w:hyperlink>
      <w:r>
        <w:t>]:</w:t>
      </w:r>
    </w:p>
    <w:p w14:paraId="53AB0DA9" w14:textId="77777777" w:rsidR="004F7B93" w:rsidRPr="00E56DBC" w:rsidRDefault="004F7B93" w:rsidP="002832CA">
      <w:pPr>
        <w:rPr>
          <w:rFonts w:ascii="Times New Roman" w:hAnsi="Times New Roman"/>
        </w:rPr>
      </w:pPr>
    </w:p>
    <w:tbl>
      <w:tblPr>
        <w:tblStyle w:val="TableGrid"/>
        <w:tblW w:w="0" w:type="auto"/>
        <w:tblLook w:val="04A0" w:firstRow="1" w:lastRow="0" w:firstColumn="1" w:lastColumn="0" w:noHBand="0" w:noVBand="1"/>
      </w:tblPr>
      <w:tblGrid>
        <w:gridCol w:w="9919"/>
      </w:tblGrid>
      <w:tr w:rsidR="002832CA" w14:paraId="6F9A2613" w14:textId="77777777" w:rsidTr="009B11EB">
        <w:tc>
          <w:tcPr>
            <w:tcW w:w="9919" w:type="dxa"/>
          </w:tcPr>
          <w:p w14:paraId="6688E2E2" w14:textId="77777777" w:rsidR="00C328E8" w:rsidRDefault="00C328E8" w:rsidP="002F3CD8">
            <w:pPr>
              <w:pStyle w:val="B1"/>
              <w:numPr>
                <w:ilvl w:val="0"/>
                <w:numId w:val="16"/>
              </w:numPr>
              <w:spacing w:before="180"/>
              <w:rPr>
                <w:i/>
                <w:lang w:eastAsia="ja-JP"/>
              </w:rPr>
            </w:pPr>
            <w:r w:rsidRPr="00E45363">
              <w:rPr>
                <w:rFonts w:hint="eastAsia"/>
                <w:i/>
                <w:lang w:eastAsia="ja-JP"/>
              </w:rPr>
              <w:t>Physical layer aspects</w:t>
            </w:r>
            <w:r w:rsidRPr="00E45363">
              <w:rPr>
                <w:i/>
                <w:lang w:eastAsia="ja-JP"/>
              </w:rPr>
              <w:t xml:space="preserve"> including [RAN1]</w:t>
            </w:r>
            <w:r w:rsidRPr="00E45363">
              <w:rPr>
                <w:rFonts w:hint="eastAsia"/>
                <w:i/>
                <w:lang w:eastAsia="ja-JP"/>
              </w:rPr>
              <w:t>:</w:t>
            </w:r>
          </w:p>
          <w:p w14:paraId="306DB977" w14:textId="77777777" w:rsidR="00C328E8" w:rsidRPr="00C328E8" w:rsidRDefault="00C328E8" w:rsidP="002F3CD8">
            <w:pPr>
              <w:pStyle w:val="B1"/>
              <w:numPr>
                <w:ilvl w:val="1"/>
                <w:numId w:val="17"/>
              </w:numPr>
              <w:spacing w:before="180"/>
              <w:rPr>
                <w:i/>
                <w:lang w:eastAsia="ja-JP"/>
              </w:rPr>
            </w:pPr>
            <w:r w:rsidRPr="00C328E8">
              <w:rPr>
                <w:i/>
                <w:lang w:eastAsia="ja-JP"/>
              </w:rPr>
              <w:t>NR-U Discovery Reference Signal (DRS) containing at least SS/PBCH block burst set transmission and possibly CSI-RS, RMSI-CORESET(s</w:t>
            </w:r>
            <w:proofErr w:type="gramStart"/>
            <w:r w:rsidRPr="00C328E8">
              <w:rPr>
                <w:i/>
                <w:lang w:eastAsia="ja-JP"/>
              </w:rPr>
              <w:t>)+</w:t>
            </w:r>
            <w:proofErr w:type="gramEnd"/>
            <w:r w:rsidRPr="00C328E8">
              <w:rPr>
                <w:i/>
                <w:lang w:eastAsia="ja-JP"/>
              </w:rPr>
              <w:t xml:space="preserve">PDSCH(s), OSI and paging with properties and extensions from NR Rel-15 in line with the agreements during the study phase (TR 38.889, Section 7.2.1.2). </w:t>
            </w:r>
            <w:proofErr w:type="gramStart"/>
            <w:r w:rsidRPr="00C328E8">
              <w:rPr>
                <w:i/>
                <w:lang w:eastAsia="ja-JP"/>
              </w:rPr>
              <w:t>60kHz</w:t>
            </w:r>
            <w:proofErr w:type="gramEnd"/>
            <w:r w:rsidRPr="00C328E8">
              <w:rPr>
                <w:i/>
                <w:lang w:eastAsia="ja-JP"/>
              </w:rPr>
              <w:t xml:space="preserve"> based SSB/PBCH block is outside the scope of the WI.</w:t>
            </w:r>
          </w:p>
          <w:p w14:paraId="385352BE" w14:textId="0D3B7AE9" w:rsidR="002832CA" w:rsidRDefault="00C328E8" w:rsidP="002F3CD8">
            <w:pPr>
              <w:pStyle w:val="B1"/>
              <w:numPr>
                <w:ilvl w:val="1"/>
                <w:numId w:val="17"/>
              </w:numPr>
              <w:spacing w:before="180"/>
              <w:rPr>
                <w:rFonts w:eastAsia="바탕"/>
                <w:szCs w:val="24"/>
              </w:rPr>
            </w:pPr>
            <w:r w:rsidRPr="00C328E8">
              <w:rPr>
                <w:i/>
                <w:lang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417747">
              <w:rPr>
                <w:i/>
                <w:lang w:eastAsia="ja-JP"/>
              </w:rPr>
              <w:t xml:space="preserve"> </w:t>
            </w:r>
            <w:r w:rsidRPr="00C328E8">
              <w:rPr>
                <w:i/>
                <w:lang w:eastAsia="ja-JP"/>
              </w:rPr>
              <w:t>RAN1 should decide whether 60 kHz subcarrier spacing for PRACH is supported, based on a unified design with 15 kHz and 30 kHz PRACH for meeting occupied channel bandwidth (OCB) requirements</w:t>
            </w:r>
            <w:r>
              <w:rPr>
                <w:i/>
                <w:lang w:eastAsia="ja-JP"/>
              </w:rPr>
              <w:t>.</w:t>
            </w:r>
          </w:p>
        </w:tc>
      </w:tr>
    </w:tbl>
    <w:p w14:paraId="07B3AC0E" w14:textId="77777777" w:rsidR="002832CA" w:rsidRPr="00E56DBC" w:rsidRDefault="002832CA" w:rsidP="002832CA">
      <w:pPr>
        <w:pStyle w:val="ListParagraph"/>
        <w:overflowPunct w:val="0"/>
        <w:autoSpaceDE w:val="0"/>
        <w:autoSpaceDN w:val="0"/>
        <w:adjustRightInd w:val="0"/>
        <w:spacing w:after="0"/>
        <w:ind w:left="360"/>
        <w:rPr>
          <w:rFonts w:eastAsia="바탕"/>
          <w:szCs w:val="24"/>
        </w:rPr>
      </w:pPr>
    </w:p>
    <w:p w14:paraId="6437FD03" w14:textId="77777777" w:rsidR="004F7B93" w:rsidRDefault="004F7B93" w:rsidP="002832CA">
      <w:pPr>
        <w:pStyle w:val="ListParagraph"/>
        <w:overflowPunct w:val="0"/>
        <w:autoSpaceDE w:val="0"/>
        <w:autoSpaceDN w:val="0"/>
        <w:adjustRightInd w:val="0"/>
        <w:spacing w:after="0"/>
        <w:ind w:left="0"/>
        <w:rPr>
          <w:bCs/>
          <w:lang w:val="en-US"/>
        </w:rPr>
      </w:pPr>
    </w:p>
    <w:p w14:paraId="12DC4006" w14:textId="62E2AD82" w:rsidR="002832CA" w:rsidRDefault="00C328E8" w:rsidP="002832CA">
      <w:pPr>
        <w:pStyle w:val="ListParagraph"/>
        <w:overflowPunct w:val="0"/>
        <w:autoSpaceDE w:val="0"/>
        <w:autoSpaceDN w:val="0"/>
        <w:adjustRightInd w:val="0"/>
        <w:spacing w:after="0"/>
        <w:ind w:left="0"/>
        <w:rPr>
          <w:bCs/>
          <w:lang w:val="en-US"/>
        </w:rPr>
      </w:pPr>
      <w:r w:rsidRPr="00C328E8">
        <w:rPr>
          <w:bCs/>
          <w:lang w:val="en-US"/>
        </w:rPr>
        <w:t>In the context of the above description of WID scope, we will discuss in this contribution the followings</w:t>
      </w:r>
      <w:r w:rsidR="002832CA" w:rsidRPr="00E56DBC">
        <w:rPr>
          <w:bCs/>
          <w:lang w:val="en-US"/>
        </w:rPr>
        <w:t>:</w:t>
      </w:r>
    </w:p>
    <w:p w14:paraId="52F23627" w14:textId="77777777" w:rsidR="004F7B93" w:rsidRPr="00E56DBC" w:rsidRDefault="004F7B93" w:rsidP="002832CA">
      <w:pPr>
        <w:pStyle w:val="ListParagraph"/>
        <w:overflowPunct w:val="0"/>
        <w:autoSpaceDE w:val="0"/>
        <w:autoSpaceDN w:val="0"/>
        <w:adjustRightInd w:val="0"/>
        <w:spacing w:after="0"/>
        <w:ind w:left="0"/>
        <w:rPr>
          <w:bCs/>
          <w:lang w:val="en-US"/>
        </w:rPr>
      </w:pPr>
    </w:p>
    <w:p w14:paraId="2690DCBB" w14:textId="1AB71CE5" w:rsidR="002832CA" w:rsidRDefault="00C328E8" w:rsidP="002F3CD8">
      <w:pPr>
        <w:pStyle w:val="ListParagraph"/>
        <w:numPr>
          <w:ilvl w:val="0"/>
          <w:numId w:val="8"/>
        </w:numPr>
        <w:spacing w:after="0"/>
      </w:pPr>
      <w:r>
        <w:t>Design of discover</w:t>
      </w:r>
      <w:r w:rsidR="00521EDE">
        <w:t>y</w:t>
      </w:r>
      <w:r>
        <w:t xml:space="preserve"> reference signal (DRS) for NR-unlicensed operation</w:t>
      </w:r>
      <w:r w:rsidR="002832CA" w:rsidRPr="00E56DBC">
        <w:t>.</w:t>
      </w:r>
    </w:p>
    <w:p w14:paraId="1E70AE67" w14:textId="2B55FDB0" w:rsidR="002832CA" w:rsidRDefault="00C328E8" w:rsidP="002F3CD8">
      <w:pPr>
        <w:pStyle w:val="ListParagraph"/>
        <w:numPr>
          <w:ilvl w:val="0"/>
          <w:numId w:val="8"/>
        </w:numPr>
        <w:overflowPunct w:val="0"/>
        <w:autoSpaceDE w:val="0"/>
        <w:autoSpaceDN w:val="0"/>
        <w:adjustRightInd w:val="0"/>
        <w:spacing w:after="0"/>
        <w:rPr>
          <w:bCs/>
          <w:lang w:val="en-US"/>
        </w:rPr>
      </w:pPr>
      <w:r>
        <w:rPr>
          <w:bCs/>
          <w:lang w:val="en-US"/>
        </w:rPr>
        <w:t>Enhancements to physical random access channel (PRACH) design for NR-unlicensed operation</w:t>
      </w:r>
      <w:r w:rsidR="002832CA" w:rsidRPr="00E56DBC">
        <w:rPr>
          <w:bCs/>
          <w:lang w:val="en-US"/>
        </w:rPr>
        <w:t>.</w:t>
      </w:r>
    </w:p>
    <w:p w14:paraId="63DF6F4C" w14:textId="2639BC9F" w:rsidR="002832CA" w:rsidRPr="00E56DBC" w:rsidRDefault="002832CA" w:rsidP="002F3CD8">
      <w:pPr>
        <w:pStyle w:val="ListParagraph"/>
        <w:numPr>
          <w:ilvl w:val="0"/>
          <w:numId w:val="8"/>
        </w:numPr>
        <w:overflowPunct w:val="0"/>
        <w:autoSpaceDE w:val="0"/>
        <w:autoSpaceDN w:val="0"/>
        <w:adjustRightInd w:val="0"/>
        <w:spacing w:after="0"/>
        <w:rPr>
          <w:bCs/>
          <w:lang w:val="en-US"/>
        </w:rPr>
      </w:pPr>
      <w:r>
        <w:rPr>
          <w:bCs/>
          <w:lang w:val="en-US"/>
        </w:rPr>
        <w:t xml:space="preserve">Enhancements to </w:t>
      </w:r>
      <w:r w:rsidR="00C328E8">
        <w:rPr>
          <w:bCs/>
          <w:lang w:val="en-US"/>
        </w:rPr>
        <w:t xml:space="preserve">physical uplink control channel (PUCCH) resource </w:t>
      </w:r>
      <w:r w:rsidR="004C2410">
        <w:rPr>
          <w:bCs/>
          <w:lang w:val="en-US"/>
        </w:rPr>
        <w:t xml:space="preserve">configuration before RRC connection set up </w:t>
      </w:r>
      <w:r w:rsidR="00C328E8">
        <w:rPr>
          <w:bCs/>
          <w:lang w:val="en-US"/>
        </w:rPr>
        <w:t>for NR-unlicensed operation</w:t>
      </w:r>
      <w:r>
        <w:rPr>
          <w:bCs/>
          <w:lang w:val="en-US"/>
        </w:rPr>
        <w:t>.</w:t>
      </w:r>
    </w:p>
    <w:p w14:paraId="0DBD9433" w14:textId="76A9CBCB" w:rsidR="002832CA" w:rsidRDefault="00417747" w:rsidP="00417747">
      <w:pPr>
        <w:pStyle w:val="Heading1"/>
        <w:keepNext w:val="0"/>
        <w:widowControl w:val="0"/>
        <w:spacing w:before="360" w:after="120"/>
        <w:ind w:left="518" w:hanging="518"/>
        <w:rPr>
          <w:rFonts w:ascii="Times New Roman" w:hAnsi="Times New Roman" w:cs="Times New Roman"/>
          <w:sz w:val="28"/>
          <w:szCs w:val="28"/>
        </w:rPr>
      </w:pPr>
      <w:r w:rsidRPr="00417747">
        <w:rPr>
          <w:rFonts w:ascii="Times New Roman" w:hAnsi="Times New Roman" w:cs="Times New Roman"/>
          <w:sz w:val="28"/>
          <w:szCs w:val="28"/>
        </w:rPr>
        <w:t>Design of discover</w:t>
      </w:r>
      <w:r w:rsidR="005211AE">
        <w:rPr>
          <w:rFonts w:ascii="Times New Roman" w:hAnsi="Times New Roman" w:cs="Times New Roman"/>
          <w:sz w:val="28"/>
          <w:szCs w:val="28"/>
        </w:rPr>
        <w:t>y</w:t>
      </w:r>
      <w:r w:rsidRPr="00417747">
        <w:rPr>
          <w:rFonts w:ascii="Times New Roman" w:hAnsi="Times New Roman" w:cs="Times New Roman"/>
          <w:sz w:val="28"/>
          <w:szCs w:val="28"/>
        </w:rPr>
        <w:t xml:space="preserve"> reference signal (DRS) for NR-unlicensed operation</w:t>
      </w:r>
      <w:r w:rsidR="002832CA" w:rsidRPr="00417747">
        <w:rPr>
          <w:rFonts w:ascii="Times New Roman" w:hAnsi="Times New Roman" w:cs="Times New Roman"/>
          <w:sz w:val="28"/>
          <w:szCs w:val="28"/>
        </w:rPr>
        <w:t xml:space="preserve"> </w:t>
      </w:r>
    </w:p>
    <w:p w14:paraId="2DC92044" w14:textId="77777777" w:rsidR="009E531C" w:rsidRDefault="009E531C" w:rsidP="009E531C">
      <w:r>
        <w:t>In RAN1#AH1901, the following was agreed:</w:t>
      </w:r>
    </w:p>
    <w:p w14:paraId="17E78ED2" w14:textId="77777777" w:rsidR="009E531C" w:rsidRPr="001243DE" w:rsidRDefault="009E531C" w:rsidP="009E531C">
      <w:pPr>
        <w:rPr>
          <w:rFonts w:cs="Times"/>
          <w:szCs w:val="20"/>
          <w:lang w:eastAsia="x-none"/>
        </w:rPr>
      </w:pPr>
      <w:r w:rsidRPr="001243DE">
        <w:rPr>
          <w:rFonts w:cs="Times"/>
          <w:szCs w:val="20"/>
          <w:highlight w:val="green"/>
          <w:lang w:eastAsia="x-none"/>
        </w:rPr>
        <w:t>Agreement:</w:t>
      </w:r>
    </w:p>
    <w:p w14:paraId="295ED805" w14:textId="77777777" w:rsidR="009E531C" w:rsidRPr="001243DE" w:rsidRDefault="009E531C" w:rsidP="009E531C">
      <w:pPr>
        <w:rPr>
          <w:rFonts w:cs="Times"/>
          <w:szCs w:val="20"/>
          <w:lang w:eastAsia="x-none"/>
        </w:rPr>
      </w:pPr>
      <w:r w:rsidRPr="001243DE">
        <w:rPr>
          <w:rFonts w:cs="Times"/>
          <w:szCs w:val="20"/>
          <w:lang w:eastAsia="x-none"/>
        </w:rPr>
        <w:t>The Type0-PDCCH monitoring configuration for NR-U should satisfy at least the following properties:</w:t>
      </w:r>
    </w:p>
    <w:p w14:paraId="36920777"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TDM of Type0-PDCCH and SSB similar to existing pattern 1 (already agreed)</w:t>
      </w:r>
    </w:p>
    <w:p w14:paraId="1B353D4B"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Support the monitoring of Type0 PDCCH of the 2</w:t>
      </w:r>
      <w:r w:rsidRPr="001243DE">
        <w:rPr>
          <w:rFonts w:cs="Times"/>
          <w:szCs w:val="20"/>
          <w:vertAlign w:val="superscript"/>
          <w:lang w:eastAsia="x-none"/>
        </w:rPr>
        <w:t>nd</w:t>
      </w:r>
      <w:r w:rsidRPr="001243DE">
        <w:rPr>
          <w:rFonts w:cs="Times"/>
          <w:szCs w:val="20"/>
          <w:lang w:eastAsia="x-none"/>
        </w:rPr>
        <w:t xml:space="preserve"> SSB position in a slot in the gap between 1</w:t>
      </w:r>
      <w:r w:rsidRPr="001243DE">
        <w:rPr>
          <w:rFonts w:cs="Times"/>
          <w:szCs w:val="20"/>
          <w:vertAlign w:val="superscript"/>
          <w:lang w:eastAsia="x-none"/>
        </w:rPr>
        <w:t>st</w:t>
      </w:r>
      <w:r w:rsidRPr="001243DE">
        <w:rPr>
          <w:rFonts w:cs="Times"/>
          <w:szCs w:val="20"/>
          <w:lang w:eastAsia="x-none"/>
        </w:rPr>
        <w:t xml:space="preserve"> and 2</w:t>
      </w:r>
      <w:r w:rsidRPr="001243DE">
        <w:rPr>
          <w:rFonts w:cs="Times"/>
          <w:szCs w:val="20"/>
          <w:vertAlign w:val="superscript"/>
          <w:lang w:eastAsia="x-none"/>
        </w:rPr>
        <w:t>nd</w:t>
      </w:r>
      <w:r w:rsidRPr="001243DE">
        <w:rPr>
          <w:rFonts w:cs="Times"/>
          <w:szCs w:val="20"/>
          <w:lang w:eastAsia="x-none"/>
        </w:rPr>
        <w:t xml:space="preserve"> SSB within the slot</w:t>
      </w:r>
    </w:p>
    <w:p w14:paraId="647D30A6" w14:textId="77777777" w:rsidR="009E531C" w:rsidRPr="001243DE" w:rsidRDefault="009E531C" w:rsidP="009E531C">
      <w:pPr>
        <w:numPr>
          <w:ilvl w:val="1"/>
          <w:numId w:val="26"/>
        </w:numPr>
        <w:spacing w:after="0"/>
        <w:jc w:val="left"/>
        <w:rPr>
          <w:rFonts w:cs="Times"/>
          <w:szCs w:val="20"/>
          <w:lang w:eastAsia="x-none"/>
        </w:rPr>
      </w:pPr>
      <w:r w:rsidRPr="001243DE">
        <w:rPr>
          <w:rFonts w:cs="Times"/>
          <w:szCs w:val="20"/>
          <w:lang w:eastAsia="x-none"/>
        </w:rPr>
        <w:t>FFS start at symbol #6 of #7 or both</w:t>
      </w:r>
    </w:p>
    <w:p w14:paraId="31C0384E"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FFS: The Type0-PDCCH candidates associated with an SSB are confined within a slot carrying the associated SSB (with the same QCL assumptions)</w:t>
      </w:r>
    </w:p>
    <w:p w14:paraId="5A05DBAB" w14:textId="77777777" w:rsidR="009E531C" w:rsidRPr="009E531C" w:rsidRDefault="009E531C" w:rsidP="009E531C"/>
    <w:p w14:paraId="2BF93454" w14:textId="69E8EACF" w:rsidR="005211AE" w:rsidRDefault="005211AE" w:rsidP="005211AE">
      <w:pPr>
        <w:pStyle w:val="Heading2"/>
      </w:pPr>
      <w:r w:rsidRPr="005211AE">
        <w:lastRenderedPageBreak/>
        <w:t xml:space="preserve">RMSI CORESET multiplexing for NR DRS transmission </w:t>
      </w:r>
    </w:p>
    <w:p w14:paraId="6EE0F430" w14:textId="77777777" w:rsidR="004F7B93" w:rsidRDefault="004F7B93" w:rsidP="005211AE"/>
    <w:p w14:paraId="08DB8A94" w14:textId="77777777" w:rsidR="009E531C" w:rsidRDefault="009E531C" w:rsidP="009E531C">
      <w:r>
        <w:t>It is already agreed that for the second SSB location in a slot, the RMSI CORESET is located in either symbol #6, #7 or both. We believe to allow flexibility of multiplexing of other signals like CSI-RS and also before knowing the exact coverage requirements, it is beneficial to consider both symbols #6 and #7 for RMSI CORESET.</w:t>
      </w:r>
    </w:p>
    <w:p w14:paraId="6960130D" w14:textId="77777777" w:rsidR="009E531C" w:rsidRDefault="009E531C" w:rsidP="009E531C"/>
    <w:p w14:paraId="25C7B7E9" w14:textId="77777777" w:rsidR="009E531C" w:rsidRDefault="009E531C" w:rsidP="009E531C">
      <w:r>
        <w:t xml:space="preserve">One remaining issue is the placement of RMSI CORESET for the first SSB location in the slot. Placing it after the first SSB location may allow to maintain time-continuity of DRS in certain cases and is also aligned with Rel-15 basic PDCCH monitoring capability 3-1. However, in such cases, due to the occurrence of the start of the PDSCH allocation much before the end of the scheduling PDCCH, a significant buffering requirement is imposed at the UE. To avoid that we prefer to locate the RMSI CORESET associated with the first SSB in the slot before the SSB.  </w:t>
      </w:r>
    </w:p>
    <w:p w14:paraId="430A9AA5" w14:textId="77777777" w:rsidR="009E531C" w:rsidRDefault="009E531C" w:rsidP="005211AE"/>
    <w:p w14:paraId="60301BD0" w14:textId="77777777" w:rsidR="00F11B96" w:rsidRDefault="00F11B96" w:rsidP="00F11B96">
      <w:pPr>
        <w:pStyle w:val="Caption"/>
        <w:keepNext/>
        <w:jc w:val="center"/>
      </w:pPr>
      <w:r>
        <w:object w:dxaOrig="6585" w:dyaOrig="1755" w14:anchorId="31696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87.55pt" o:ole="">
            <v:imagedata r:id="rId11" o:title=""/>
          </v:shape>
          <o:OLEObject Type="Embed" ProgID="Visio.Drawing.15" ShapeID="_x0000_i1025" DrawAspect="Content" ObjectID="_1611768957" r:id="rId12"/>
        </w:object>
      </w:r>
    </w:p>
    <w:p w14:paraId="57BACF5C" w14:textId="16566940" w:rsidR="005211AE" w:rsidRPr="00E17986" w:rsidRDefault="00F11B96" w:rsidP="00F11B96">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RMSI CORESET </w:t>
      </w:r>
      <w:r w:rsidR="009E531C">
        <w:t>placement illustrated for the first and second SSB in slot (30 kHz)</w:t>
      </w:r>
    </w:p>
    <w:p w14:paraId="0090815A" w14:textId="77777777" w:rsidR="005211AE" w:rsidRDefault="005211AE" w:rsidP="005211AE"/>
    <w:p w14:paraId="20CDB657" w14:textId="35168FBA" w:rsidR="00417747" w:rsidRPr="00417747" w:rsidRDefault="00417747" w:rsidP="00417747">
      <w:pPr>
        <w:rPr>
          <w:b/>
          <w:u w:val="single"/>
        </w:rPr>
      </w:pPr>
      <w:r w:rsidRPr="00417747">
        <w:rPr>
          <w:b/>
          <w:u w:val="single"/>
        </w:rPr>
        <w:t>Proposal 1</w:t>
      </w:r>
    </w:p>
    <w:p w14:paraId="03B39CDC" w14:textId="77777777" w:rsidR="00F11B96" w:rsidRPr="00F11B96" w:rsidRDefault="00F11B96" w:rsidP="00F11B96">
      <w:pPr>
        <w:rPr>
          <w:b/>
          <w:i/>
        </w:rPr>
      </w:pPr>
      <w:r w:rsidRPr="00F11B96">
        <w:rPr>
          <w:b/>
          <w:i/>
        </w:rPr>
        <w:t>Consider locating RMSI CORESET for the first SSB before the SSB within the slot</w:t>
      </w:r>
    </w:p>
    <w:p w14:paraId="51C7A38F" w14:textId="77777777" w:rsidR="00417747" w:rsidRPr="00417747" w:rsidRDefault="00417747" w:rsidP="00417747"/>
    <w:p w14:paraId="0275772B" w14:textId="690203AB" w:rsidR="002832CA" w:rsidRPr="00361FC1" w:rsidRDefault="002832CA" w:rsidP="002832CA">
      <w:pPr>
        <w:pStyle w:val="Heading1"/>
        <w:rPr>
          <w:rFonts w:ascii="Times New Roman" w:hAnsi="Times New Roman" w:cs="Times New Roman"/>
          <w:sz w:val="28"/>
        </w:rPr>
      </w:pPr>
      <w:r w:rsidRPr="00361FC1">
        <w:rPr>
          <w:rFonts w:ascii="Times New Roman" w:hAnsi="Times New Roman" w:cs="Times New Roman"/>
          <w:sz w:val="28"/>
        </w:rPr>
        <w:t>Enhancement</w:t>
      </w:r>
      <w:r>
        <w:rPr>
          <w:rFonts w:ascii="Times New Roman" w:hAnsi="Times New Roman" w:cs="Times New Roman"/>
          <w:sz w:val="28"/>
        </w:rPr>
        <w:t>s</w:t>
      </w:r>
      <w:r w:rsidRPr="00361FC1">
        <w:rPr>
          <w:rFonts w:ascii="Times New Roman" w:hAnsi="Times New Roman" w:cs="Times New Roman"/>
          <w:sz w:val="28"/>
        </w:rPr>
        <w:t xml:space="preserve"> to </w:t>
      </w:r>
      <w:r w:rsidR="00417747">
        <w:rPr>
          <w:rFonts w:ascii="Times New Roman" w:hAnsi="Times New Roman" w:cs="Times New Roman"/>
          <w:sz w:val="28"/>
        </w:rPr>
        <w:t>PRACH design for NR-unlicensed</w:t>
      </w:r>
    </w:p>
    <w:p w14:paraId="275B2D60" w14:textId="40064E41" w:rsidR="00417747" w:rsidRDefault="00417747" w:rsidP="00417747">
      <w:pPr>
        <w:spacing w:before="240" w:after="240"/>
        <w:rPr>
          <w:rFonts w:ascii="Times New Roman" w:hAnsi="Times New Roman"/>
          <w:szCs w:val="20"/>
          <w:lang w:val="en-US"/>
        </w:rPr>
      </w:pPr>
      <w:r>
        <w:rPr>
          <w:rFonts w:ascii="Times New Roman" w:hAnsi="Times New Roman"/>
        </w:rPr>
        <w:t>In TR38.889</w:t>
      </w:r>
      <w:r w:rsidR="00FB4EBB">
        <w:rPr>
          <w:rFonts w:ascii="Times New Roman" w:hAnsi="Times New Roman"/>
        </w:rPr>
        <w:t xml:space="preserve"> [</w:t>
      </w:r>
      <w:hyperlink w:anchor="_Reference" w:history="1">
        <w:r w:rsidR="00FB4EBB" w:rsidRPr="00FB4EBB">
          <w:rPr>
            <w:rStyle w:val="Hyperlink"/>
            <w:rFonts w:ascii="Times New Roman" w:hAnsi="Times New Roman"/>
          </w:rPr>
          <w:t>2</w:t>
        </w:r>
      </w:hyperlink>
      <w:r w:rsidR="00FB4EBB">
        <w:rPr>
          <w:rFonts w:ascii="Times New Roman" w:hAnsi="Times New Roman"/>
        </w:rPr>
        <w:t>]</w:t>
      </w:r>
      <w:r>
        <w:rPr>
          <w:rFonts w:ascii="Times New Roman" w:hAnsi="Times New Roman"/>
        </w:rPr>
        <w:t xml:space="preserve">, the following was agreed as the guideline to be followed in designing </w:t>
      </w:r>
      <w:r w:rsidR="00483D53">
        <w:rPr>
          <w:rFonts w:ascii="Times New Roman" w:hAnsi="Times New Roman"/>
        </w:rPr>
        <w:t xml:space="preserve">PRACH sequence length </w:t>
      </w:r>
      <w:r>
        <w:rPr>
          <w:rFonts w:ascii="Times New Roman" w:hAnsi="Times New Roman"/>
        </w:rPr>
        <w:t>for NR-unlicensed operation</w:t>
      </w:r>
      <w:r>
        <w:rPr>
          <w:rFonts w:ascii="Times New Roman" w:hAnsi="Times New Roman"/>
          <w:szCs w:val="20"/>
          <w:lang w:val="en-US"/>
        </w:rPr>
        <w:t>:</w:t>
      </w:r>
    </w:p>
    <w:p w14:paraId="2F2E0623" w14:textId="2E6D05B2" w:rsidR="00417747" w:rsidRDefault="00417747" w:rsidP="00417747">
      <w:pPr>
        <w:spacing w:before="240" w:after="240"/>
        <w:rPr>
          <w:rFonts w:ascii="Times New Roman" w:hAnsi="Times New Roman"/>
          <w:szCs w:val="20"/>
          <w:lang w:val="en-US"/>
        </w:rPr>
      </w:pPr>
    </w:p>
    <w:p w14:paraId="542348C3" w14:textId="4CF4EFA0" w:rsidR="00417747" w:rsidRPr="00275724" w:rsidRDefault="00417747" w:rsidP="00417747">
      <w:pPr>
        <w:spacing w:before="240" w:after="240"/>
        <w:rPr>
          <w:rFonts w:ascii="Times New Roman" w:hAnsi="Times New Roman"/>
          <w:szCs w:val="20"/>
          <w:lang w:val="en-US"/>
        </w:rPr>
      </w:pPr>
      <w:r w:rsidRPr="00417747">
        <w:rPr>
          <w:rFonts w:ascii="Times New Roman" w:hAnsi="Times New Roman"/>
          <w:noProof/>
          <w:szCs w:val="20"/>
          <w:lang w:val="en-US" w:eastAsia="ko-KR"/>
        </w:rPr>
        <mc:AlternateContent>
          <mc:Choice Requires="wps">
            <w:drawing>
              <wp:anchor distT="45720" distB="45720" distL="114300" distR="114300" simplePos="0" relativeHeight="251659264" behindDoc="0" locked="0" layoutInCell="1" allowOverlap="1" wp14:anchorId="4E17175C" wp14:editId="3AF968EF">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5DE8DEB9" w14:textId="3769FBD9" w:rsidR="00417747" w:rsidRPr="00483D53" w:rsidRDefault="00483D53">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483D53" w:rsidRPr="00483D53" w:rsidRDefault="00483D53">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17175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5DE8DEB9" w14:textId="3769FBD9" w:rsidR="00417747" w:rsidRPr="00483D53" w:rsidRDefault="00483D53">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483D53" w:rsidRPr="00483D53" w:rsidRDefault="00483D53">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75724">
        <w:rPr>
          <w:rFonts w:ascii="Times New Roman" w:hAnsi="Times New Roman"/>
          <w:szCs w:val="20"/>
          <w:lang w:val="en-US"/>
        </w:rPr>
        <w:t xml:space="preserve">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t>
      </w:r>
      <w:r w:rsidR="00D1533B">
        <w:rPr>
          <w:rFonts w:ascii="Times New Roman" w:hAnsi="Times New Roman"/>
          <w:szCs w:val="20"/>
          <w:lang w:val="en-US"/>
        </w:rPr>
        <w:t>which is identical</w:t>
      </w:r>
      <w:r w:rsidR="00D1533B" w:rsidRPr="00275724">
        <w:rPr>
          <w:rFonts w:ascii="Times New Roman" w:hAnsi="Times New Roman"/>
          <w:szCs w:val="20"/>
          <w:lang w:val="en-US"/>
        </w:rPr>
        <w:t xml:space="preserve"> </w:t>
      </w:r>
      <w:r w:rsidRPr="00275724">
        <w:rPr>
          <w:rFonts w:ascii="Times New Roman" w:hAnsi="Times New Roman"/>
          <w:szCs w:val="20"/>
          <w:lang w:val="en-US"/>
        </w:rPr>
        <w:t>to other physical channels (PUCCH/PUSCH). Therefore, we propose to support only NR short PRACH formats as the baseline for NR-unlicensed spectrum.</w:t>
      </w:r>
    </w:p>
    <w:p w14:paraId="68AB471D" w14:textId="1D7656D8" w:rsidR="00417747" w:rsidRPr="00275724" w:rsidRDefault="00417747" w:rsidP="0041774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F7B93">
        <w:rPr>
          <w:rFonts w:ascii="Times New Roman" w:hAnsi="Times New Roman"/>
          <w:b/>
          <w:szCs w:val="20"/>
          <w:u w:val="single"/>
          <w:lang w:val="en-US"/>
        </w:rPr>
        <w:t>2</w:t>
      </w:r>
    </w:p>
    <w:p w14:paraId="0DD4216B" w14:textId="77777777" w:rsidR="00417747" w:rsidRPr="00275724" w:rsidRDefault="00417747" w:rsidP="00417747">
      <w:pPr>
        <w:spacing w:before="240" w:after="240"/>
        <w:rPr>
          <w:rFonts w:ascii="Times New Roman" w:hAnsi="Times New Roman"/>
          <w:szCs w:val="20"/>
          <w:lang w:val="en-US"/>
        </w:rPr>
      </w:pPr>
      <w:r w:rsidRPr="00275724">
        <w:rPr>
          <w:rFonts w:ascii="Times New Roman" w:hAnsi="Times New Roman"/>
          <w:b/>
          <w:i/>
          <w:szCs w:val="20"/>
          <w:lang w:val="en-US"/>
        </w:rPr>
        <w:t>Support only NR short PRACH formats (L=139) when temporal allowance of 2 MHz OCB is allowed by regulation.</w:t>
      </w:r>
    </w:p>
    <w:p w14:paraId="6861205B" w14:textId="1D534A95" w:rsidR="00BB3D4F" w:rsidRDefault="00336DF9" w:rsidP="00417747">
      <w:pPr>
        <w:pStyle w:val="ListParagraph"/>
        <w:spacing w:before="240" w:after="240" w:line="240" w:lineRule="auto"/>
        <w:ind w:left="0"/>
        <w:rPr>
          <w:szCs w:val="20"/>
          <w:lang w:val="en-US"/>
        </w:rPr>
      </w:pPr>
      <w:r w:rsidRPr="00275724">
        <w:rPr>
          <w:szCs w:val="20"/>
          <w:lang w:val="en-US"/>
        </w:rPr>
        <w:lastRenderedPageBreak/>
        <w:t xml:space="preserve">To meet the 80% occupied channel bandwidth (OCB) regulation and exploit the PSD requirement of 10 </w:t>
      </w:r>
      <w:proofErr w:type="spellStart"/>
      <w:r w:rsidRPr="00275724">
        <w:rPr>
          <w:szCs w:val="20"/>
          <w:lang w:val="en-US"/>
        </w:rPr>
        <w:t>dBm</w:t>
      </w:r>
      <w:proofErr w:type="spellEnd"/>
      <w:r w:rsidRPr="00275724">
        <w:rPr>
          <w:szCs w:val="20"/>
          <w:lang w:val="en-US"/>
        </w:rPr>
        <w:t xml:space="preserve">/1MHz to boost transmit power, interlace based waveform design </w:t>
      </w:r>
      <w:r>
        <w:rPr>
          <w:szCs w:val="20"/>
          <w:lang w:val="en-US"/>
        </w:rPr>
        <w:t>is</w:t>
      </w:r>
      <w:r w:rsidRPr="00275724">
        <w:rPr>
          <w:szCs w:val="20"/>
          <w:lang w:val="en-US"/>
        </w:rPr>
        <w:t xml:space="preserve"> considered for physical uplink data/control channels and signals (PUSCH/PUCCH and associated DMRS) transmission</w:t>
      </w:r>
      <w:r>
        <w:rPr>
          <w:szCs w:val="20"/>
          <w:lang w:val="en-US"/>
        </w:rPr>
        <w:t xml:space="preserve"> in NR-U. Similar to PUCCH/PUSCH, interlace based design was also considered as a potential candidate waveform for PRACH in TR38.889 [2], along with the option of enhancing NR-PRACH with contiguous mapping across frequency (possibly with different cyclic shift/root index) to meet regulatory requirements for unlicensed band operation. While f</w:t>
      </w:r>
      <w:r w:rsidRPr="00336DF9">
        <w:rPr>
          <w:szCs w:val="20"/>
          <w:lang w:val="en-US"/>
        </w:rPr>
        <w:t>rom FDM-based user multiplexing standpoint, a unified interlace based waveform for all NR physical uplink channels might be beneficial</w:t>
      </w:r>
      <w:r>
        <w:rPr>
          <w:szCs w:val="20"/>
          <w:lang w:val="en-US"/>
        </w:rPr>
        <w:t>, the design criteria for PRACH considers other performance metric as well along with inter-channel multiplexing</w:t>
      </w:r>
      <w:r w:rsidR="00BB3D4F">
        <w:rPr>
          <w:szCs w:val="20"/>
          <w:lang w:val="en-US"/>
        </w:rPr>
        <w:t>. In</w:t>
      </w:r>
      <w:r>
        <w:rPr>
          <w:szCs w:val="20"/>
          <w:lang w:val="en-US"/>
        </w:rPr>
        <w:t xml:space="preserve"> the last RAN1 meeting [3]</w:t>
      </w:r>
      <w:r w:rsidR="00BB3D4F">
        <w:rPr>
          <w:szCs w:val="20"/>
          <w:lang w:val="en-US"/>
        </w:rPr>
        <w:t>, detailed simulation assumptions were agreed to compare performance between different candidate PRACH designs in terms of miss detection probability (&lt; 1%), false alarm probability (&lt;0.1%), timing estimation error, PRACH capacity, PAPR/CM and MCL.</w:t>
      </w:r>
    </w:p>
    <w:p w14:paraId="7123237D" w14:textId="440EDC69" w:rsidR="00BB3D4F" w:rsidRDefault="00BB3D4F" w:rsidP="00417747">
      <w:pPr>
        <w:pStyle w:val="ListParagraph"/>
        <w:spacing w:before="240" w:after="240" w:line="240" w:lineRule="auto"/>
        <w:ind w:left="0"/>
      </w:pPr>
      <w:r>
        <w:rPr>
          <w:szCs w:val="20"/>
          <w:lang w:val="en-US"/>
        </w:rPr>
        <w:t>From theoretical perspective, PRB based uniform interlace may lead to lower timing estimation accuracy, since (</w:t>
      </w:r>
      <w:r>
        <w:t>as mentioned in TR38.889 [</w:t>
      </w:r>
      <w:hyperlink w:anchor="_Reference" w:history="1">
        <w:r w:rsidRPr="00EF0B9F">
          <w:rPr>
            <w:rStyle w:val="Hyperlink"/>
          </w:rPr>
          <w:t>2</w:t>
        </w:r>
      </w:hyperlink>
      <w:r>
        <w:t xml:space="preserve">]) </w:t>
      </w:r>
      <w:r w:rsidRPr="00483D53">
        <w:t>a uniform mapping (</w:t>
      </w:r>
      <w:r>
        <w:t>with equal inter-PRB spacing</w:t>
      </w:r>
      <w:r w:rsidRPr="00483D53">
        <w:t>) in the frequency domain produces a zero-autocorrelation zone, of which the duration is inversely proportional to the frequency spacing between the PRBs</w:t>
      </w:r>
      <w:r>
        <w:t>. Introducing some irregularity in the interlace structure (e.g. with irregular inter-PRB separation) may improve the timing estimation accuracy, but since interlace design for 20 MHz PUSCH (and potentially PUCCH) channel has already been agreed to be based on uniform inter-PRB separation based interlace, irregular inter-PRB separation based interlace for PRACH would not be beneficial in terms of FDM with interlace based PUCCH/PUSCH. Moreover, irregular inter-PRB separation based interlace design may lead to increased signalling overhead, especially when resource allocation unit is a single interlace with fixed inter-PRB spacing.</w:t>
      </w:r>
    </w:p>
    <w:p w14:paraId="66D689E5" w14:textId="77777777" w:rsidR="00562BC9" w:rsidRDefault="00562BC9" w:rsidP="00417747">
      <w:pPr>
        <w:pStyle w:val="ListParagraph"/>
        <w:spacing w:before="240" w:after="240" w:line="240" w:lineRule="auto"/>
        <w:ind w:left="0"/>
      </w:pPr>
    </w:p>
    <w:p w14:paraId="4F750682" w14:textId="723D1AFF" w:rsidR="00562BC9" w:rsidRPr="00562BC9" w:rsidRDefault="00562BC9" w:rsidP="00417747">
      <w:pPr>
        <w:pStyle w:val="ListParagraph"/>
        <w:spacing w:before="240" w:after="240" w:line="240" w:lineRule="auto"/>
        <w:ind w:left="0"/>
        <w:rPr>
          <w:szCs w:val="20"/>
          <w:lang w:val="en-US"/>
        </w:rPr>
      </w:pPr>
      <w:r w:rsidRPr="00562BC9">
        <w:rPr>
          <w:szCs w:val="20"/>
          <w:lang w:val="en-US"/>
        </w:rPr>
        <w:t>Thus, to improve the timing estimation accuracy, legacy NR PRACH structure with contiguous PRB allocation can be enhanced to meet 80% OCB, if mandated by regulation. In particular, NR short PRACH sequence (L=139) can be repeatedly mapped across contiguous RBs, while applying different cyclic shifts and/or different phase rotations on each repetitions to keep the PAPR low</w:t>
      </w:r>
      <w:r>
        <w:rPr>
          <w:szCs w:val="20"/>
          <w:lang w:val="en-US"/>
        </w:rPr>
        <w:t>. M</w:t>
      </w:r>
      <w:r w:rsidRPr="00562BC9">
        <w:rPr>
          <w:szCs w:val="20"/>
          <w:lang w:val="en-US"/>
        </w:rPr>
        <w:t>ultiplexing of PRACH and interlaced transmission (e.g. interlace based PUCCH/PUSCH) can be restricted to time domain, i.e. TDM.</w:t>
      </w:r>
    </w:p>
    <w:p w14:paraId="0130F364" w14:textId="1B52BB45" w:rsidR="00417747" w:rsidRPr="00275724" w:rsidRDefault="00417747" w:rsidP="00417747">
      <w:pPr>
        <w:pStyle w:val="ListParagraph"/>
        <w:spacing w:before="240" w:after="240" w:line="240" w:lineRule="auto"/>
        <w:ind w:left="0"/>
      </w:pPr>
    </w:p>
    <w:p w14:paraId="4DF5FE39" w14:textId="77777777" w:rsidR="00417747" w:rsidRPr="00275724" w:rsidRDefault="00417747" w:rsidP="00417747">
      <w:pPr>
        <w:pStyle w:val="ListParagraph"/>
        <w:spacing w:before="240" w:after="240" w:line="240" w:lineRule="auto"/>
        <w:ind w:left="0"/>
      </w:pPr>
    </w:p>
    <w:p w14:paraId="7126A1B4" w14:textId="66776ED4" w:rsidR="00417747" w:rsidRPr="00275724" w:rsidRDefault="004F7B93" w:rsidP="00417747">
      <w:pPr>
        <w:pStyle w:val="ListParagraph"/>
        <w:spacing w:before="240" w:after="240" w:line="240" w:lineRule="auto"/>
        <w:ind w:left="0"/>
        <w:rPr>
          <w:b/>
          <w:u w:val="single"/>
        </w:rPr>
      </w:pPr>
      <w:r>
        <w:rPr>
          <w:b/>
          <w:u w:val="single"/>
        </w:rPr>
        <w:t>Proposal 3</w:t>
      </w:r>
    </w:p>
    <w:p w14:paraId="72166941" w14:textId="77777777" w:rsidR="00417747" w:rsidRPr="00275724" w:rsidRDefault="00417747" w:rsidP="00417747">
      <w:pPr>
        <w:pStyle w:val="ListParagraph"/>
        <w:spacing w:before="240" w:after="240" w:line="240" w:lineRule="auto"/>
        <w:ind w:left="0"/>
        <w:rPr>
          <w:b/>
          <w:u w:val="single"/>
        </w:rPr>
      </w:pPr>
    </w:p>
    <w:p w14:paraId="60D0CDFC" w14:textId="77777777" w:rsidR="00417747" w:rsidRPr="00275724" w:rsidRDefault="00417747" w:rsidP="00417747">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457B21A0" w14:textId="77777777" w:rsidR="00417747" w:rsidRPr="00275724" w:rsidRDefault="00417747" w:rsidP="002F3CD8">
      <w:pPr>
        <w:pStyle w:val="ListParagraph"/>
        <w:numPr>
          <w:ilvl w:val="0"/>
          <w:numId w:val="10"/>
        </w:numPr>
        <w:spacing w:before="240" w:after="240" w:line="240" w:lineRule="auto"/>
        <w:ind w:left="360"/>
        <w:rPr>
          <w:b/>
          <w:i/>
          <w:szCs w:val="20"/>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p>
    <w:p w14:paraId="244F200F" w14:textId="6098C258" w:rsidR="002832CA" w:rsidRDefault="002832CA" w:rsidP="002832CA">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 xml:space="preserve">Enhancements to </w:t>
      </w:r>
      <w:r w:rsidR="004C2410">
        <w:rPr>
          <w:rFonts w:ascii="Times New Roman" w:hAnsi="Times New Roman" w:cs="Times New Roman"/>
          <w:sz w:val="28"/>
          <w:lang w:val="en-US"/>
        </w:rPr>
        <w:t xml:space="preserve">PUCCH resource configuration during initial access </w:t>
      </w:r>
    </w:p>
    <w:p w14:paraId="5D8C1B02" w14:textId="5B6568AE" w:rsidR="00517B50" w:rsidRDefault="00517B50" w:rsidP="002832CA">
      <w:pPr>
        <w:rPr>
          <w:lang w:val="en-US"/>
        </w:rPr>
      </w:pPr>
      <w:r>
        <w:rPr>
          <w:lang w:val="en-US"/>
        </w:rPr>
        <w:t xml:space="preserve">In NR, PUCCH resource sets before dedicated PUCCH resource configuration used for transmitting 1-bit HARQ-ACK in response to </w:t>
      </w:r>
      <w:r w:rsidR="00A17291">
        <w:rPr>
          <w:lang w:val="en-US"/>
        </w:rPr>
        <w:t xml:space="preserve">Msg. </w:t>
      </w:r>
      <w:r>
        <w:rPr>
          <w:lang w:val="en-US"/>
        </w:rPr>
        <w:t>4 transmission during initial access are given as follows:</w:t>
      </w:r>
    </w:p>
    <w:p w14:paraId="2900BE7C" w14:textId="683EAA25" w:rsidR="00517B50" w:rsidRDefault="00517B50" w:rsidP="002F3CD8">
      <w:pPr>
        <w:pStyle w:val="ListParagraph"/>
        <w:numPr>
          <w:ilvl w:val="0"/>
          <w:numId w:val="18"/>
        </w:numPr>
        <w:rPr>
          <w:rFonts w:eastAsia="Times New Roman"/>
        </w:rPr>
      </w:pPr>
      <w:r w:rsidRPr="00517B50">
        <w:rPr>
          <w:rFonts w:eastAsia="Times New Roman"/>
        </w:rPr>
        <w:t xml:space="preserve">A PUCCH resource set </w:t>
      </w:r>
      <w:r w:rsidR="00520193">
        <w:rPr>
          <w:rFonts w:eastAsia="Times New Roman"/>
        </w:rPr>
        <w:t xml:space="preserve">before dedicated PUCCH resource configuration </w:t>
      </w:r>
      <w:r w:rsidRPr="00517B50">
        <w:rPr>
          <w:rFonts w:eastAsia="Times New Roman"/>
        </w:rPr>
        <w:t xml:space="preserve">is provided by higher layer parameter </w:t>
      </w:r>
      <w:proofErr w:type="spellStart"/>
      <w:r w:rsidRPr="00E17986">
        <w:rPr>
          <w:rFonts w:eastAsia="Times New Roman"/>
          <w:i/>
        </w:rPr>
        <w:t>pucch-ResourceCommon</w:t>
      </w:r>
      <w:proofErr w:type="spellEnd"/>
      <w:r w:rsidRPr="00517B50">
        <w:rPr>
          <w:rFonts w:eastAsia="Times New Roman"/>
        </w:rPr>
        <w:t xml:space="preserve"> in system information block 1 (SIB1) through a 4-bit remaining minimum system information (RMSI) index</w:t>
      </w:r>
      <w:r>
        <w:rPr>
          <w:rFonts w:eastAsia="Times New Roman"/>
        </w:rPr>
        <w:t>.</w:t>
      </w:r>
    </w:p>
    <w:p w14:paraId="310386D4" w14:textId="1F60F7C5" w:rsidR="00517B50" w:rsidRPr="00517B50" w:rsidRDefault="00517B50" w:rsidP="002F3CD8">
      <w:pPr>
        <w:pStyle w:val="ListParagraph"/>
        <w:numPr>
          <w:ilvl w:val="0"/>
          <w:numId w:val="19"/>
        </w:numPr>
        <w:rPr>
          <w:rFonts w:eastAsia="Times New Roman"/>
        </w:rPr>
      </w:pPr>
      <w:r w:rsidRPr="00517B50">
        <w:rPr>
          <w:rFonts w:eastAsia="Times New Roman"/>
        </w:rPr>
        <w:t>4-bit RMSI indicates an entry into a 16-row table (Table 9.2.1-1 of TS 38.213</w:t>
      </w:r>
      <w:r w:rsidR="00A17291">
        <w:rPr>
          <w:rFonts w:eastAsia="Times New Roman"/>
        </w:rPr>
        <w:t xml:space="preserve"> [</w:t>
      </w:r>
      <w:r w:rsidR="00336DF9">
        <w:rPr>
          <w:rFonts w:eastAsia="Times New Roman"/>
        </w:rPr>
        <w:t>4</w:t>
      </w:r>
      <w:r w:rsidR="00A17291">
        <w:rPr>
          <w:rFonts w:eastAsia="Times New Roman"/>
        </w:rPr>
        <w:t>]</w:t>
      </w:r>
      <w:r w:rsidRPr="00517B50">
        <w:rPr>
          <w:rFonts w:eastAsia="Times New Roman"/>
        </w:rPr>
        <w:t>).</w:t>
      </w:r>
    </w:p>
    <w:p w14:paraId="6F58468F" w14:textId="77777777" w:rsidR="00517B50" w:rsidRPr="00517B50" w:rsidRDefault="00517B50" w:rsidP="002F3CD8">
      <w:pPr>
        <w:pStyle w:val="ListParagraph"/>
        <w:numPr>
          <w:ilvl w:val="0"/>
          <w:numId w:val="19"/>
        </w:numPr>
        <w:rPr>
          <w:rFonts w:eastAsia="Times New Roman"/>
        </w:rPr>
      </w:pPr>
      <w:r w:rsidRPr="00517B50">
        <w:rPr>
          <w:rFonts w:eastAsia="Times New Roman"/>
        </w:rPr>
        <w:t>Each row in the table configures a set of 16 cell-specific PUCCH resources.</w:t>
      </w:r>
    </w:p>
    <w:p w14:paraId="291BC2CE" w14:textId="4694B24D" w:rsidR="00517B50" w:rsidRDefault="00517B50" w:rsidP="002F3CD8">
      <w:pPr>
        <w:pStyle w:val="ListParagraph"/>
        <w:numPr>
          <w:ilvl w:val="0"/>
          <w:numId w:val="19"/>
        </w:numPr>
        <w:rPr>
          <w:rFonts w:eastAsia="Times New Roman"/>
        </w:rPr>
      </w:pPr>
      <w:r w:rsidRPr="00517B50">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Pr="00517B50">
        <w:rPr>
          <w:rFonts w:eastAsia="Times New Roman"/>
        </w:rPr>
        <w:t>and a set of initial cyclic shift (CS) indices.</w:t>
      </w:r>
    </w:p>
    <w:p w14:paraId="727564C1" w14:textId="77777777" w:rsidR="00517B50" w:rsidRPr="00517B50" w:rsidRDefault="00517B50" w:rsidP="002F3CD8">
      <w:pPr>
        <w:pStyle w:val="ListParagraph"/>
        <w:numPr>
          <w:ilvl w:val="0"/>
          <w:numId w:val="18"/>
        </w:numPr>
        <w:rPr>
          <w:rFonts w:eastAsia="Times New Roman"/>
        </w:rPr>
      </w:pPr>
      <w:r w:rsidRPr="00517B50">
        <w:rPr>
          <w:rFonts w:eastAsia="Times New Roman"/>
        </w:rPr>
        <w:t>Supported PUCCH durations and starting symbols (always aligned with slot boundary):</w:t>
      </w:r>
    </w:p>
    <w:p w14:paraId="1CA7335B" w14:textId="17BD89D9" w:rsidR="00517B50" w:rsidRPr="00517B50" w:rsidRDefault="00517B50" w:rsidP="002F3CD8">
      <w:pPr>
        <w:pStyle w:val="ListParagraph"/>
        <w:numPr>
          <w:ilvl w:val="0"/>
          <w:numId w:val="20"/>
        </w:numPr>
        <w:rPr>
          <w:rFonts w:eastAsia="Times New Roman"/>
        </w:rPr>
      </w:pPr>
      <w:r>
        <w:rPr>
          <w:rFonts w:eastAsia="Times New Roman"/>
        </w:rPr>
        <w:t xml:space="preserve">Symbol duration 2/4/10/14 </w:t>
      </w:r>
      <w:r w:rsidRPr="00517B50">
        <w:rPr>
          <w:rFonts w:eastAsia="Times New Roman"/>
        </w:rPr>
        <w:sym w:font="Wingdings" w:char="F0E0"/>
      </w:r>
      <w:r w:rsidRPr="00517B50">
        <w:rPr>
          <w:rFonts w:eastAsia="Times New Roman"/>
        </w:rPr>
        <w:t xml:space="preserve"> starting symbol index #12/#10/#4/#0.</w:t>
      </w:r>
    </w:p>
    <w:p w14:paraId="2A3CFB73" w14:textId="1C8B0025" w:rsidR="00517B50" w:rsidRPr="00517B50" w:rsidRDefault="00517B50" w:rsidP="002F3CD8">
      <w:pPr>
        <w:pStyle w:val="ListParagraph"/>
        <w:numPr>
          <w:ilvl w:val="0"/>
          <w:numId w:val="18"/>
        </w:numPr>
        <w:rPr>
          <w:rFonts w:eastAsia="Times New Roman"/>
        </w:rPr>
      </w:pPr>
      <w:r w:rsidRPr="00FC2CDF">
        <w:t xml:space="preserve">Supported PUCCH formats: only PUCCH format 0 </w:t>
      </w:r>
      <w:r>
        <w:t>and PUCCH format 1 (single PRB).</w:t>
      </w:r>
    </w:p>
    <w:p w14:paraId="1B913E3F" w14:textId="34E6D9BC" w:rsidR="00517B50" w:rsidRPr="00517B50" w:rsidRDefault="00517B50" w:rsidP="002F3CD8">
      <w:pPr>
        <w:pStyle w:val="ListParagraph"/>
        <w:numPr>
          <w:ilvl w:val="0"/>
          <w:numId w:val="18"/>
        </w:numPr>
        <w:rPr>
          <w:rFonts w:eastAsia="Times New Roman"/>
        </w:rPr>
      </w:pPr>
      <w:r>
        <w:t>Supported payload size: 1-bit only.</w:t>
      </w:r>
    </w:p>
    <w:p w14:paraId="173BBF91" w14:textId="47122EFF" w:rsidR="00517B50" w:rsidRDefault="00517B50" w:rsidP="00517B50">
      <w:pPr>
        <w:rPr>
          <w:rFonts w:eastAsia="Times New Roman"/>
        </w:rPr>
      </w:pPr>
      <w:r w:rsidRPr="00517B50">
        <w:rPr>
          <w:rFonts w:eastAsia="Times New Roman"/>
        </w:rPr>
        <w:t>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w:t>
      </w:r>
      <w:r>
        <w:rPr>
          <w:rFonts w:eastAsia="Times New Roman"/>
        </w:rPr>
        <w:t>. Two alternatives can be considered for this enhancement:</w:t>
      </w:r>
    </w:p>
    <w:p w14:paraId="284C6533" w14:textId="30000278" w:rsidR="00517B50" w:rsidRDefault="00517B50" w:rsidP="002F3CD8">
      <w:pPr>
        <w:pStyle w:val="ListParagraph"/>
        <w:numPr>
          <w:ilvl w:val="0"/>
          <w:numId w:val="21"/>
        </w:numPr>
        <w:rPr>
          <w:rFonts w:eastAsia="Times New Roman"/>
        </w:rPr>
      </w:pPr>
      <w:r>
        <w:rPr>
          <w:rFonts w:eastAsia="Times New Roman"/>
        </w:rPr>
        <w:t xml:space="preserve">Enhance NR-PUCCH formats 0 and 1 to support interlace based transmission and modify Table 9.2.1-1 </w:t>
      </w:r>
      <w:r w:rsidR="004379AD">
        <w:rPr>
          <w:rFonts w:eastAsia="Times New Roman"/>
        </w:rPr>
        <w:t>accordingly.</w:t>
      </w:r>
    </w:p>
    <w:p w14:paraId="68970973" w14:textId="66A0480C" w:rsidR="001119BB" w:rsidRPr="004379AD" w:rsidRDefault="004379AD" w:rsidP="002F3CD8">
      <w:pPr>
        <w:pStyle w:val="ListParagraph"/>
        <w:numPr>
          <w:ilvl w:val="0"/>
          <w:numId w:val="21"/>
        </w:numPr>
        <w:rPr>
          <w:rFonts w:eastAsia="Times New Roman"/>
        </w:rPr>
      </w:pPr>
      <w:r w:rsidRPr="004379AD">
        <w:rPr>
          <w:rFonts w:eastAsia="Times New Roman"/>
        </w:rPr>
        <w:t>Modify Table 9.2.1-1 to use PUCCH formats 2 and 3, which are inherently multi-PRB PUCCH formats.</w:t>
      </w:r>
      <w:r w:rsidR="00167058" w:rsidRPr="004379AD">
        <w:rPr>
          <w:rFonts w:eastAsia="Times New Roman"/>
        </w:rPr>
        <w:t xml:space="preserve">  </w:t>
      </w:r>
      <w:r w:rsidR="001119BB" w:rsidRPr="004379AD">
        <w:rPr>
          <w:rFonts w:eastAsia="Times New Roman"/>
        </w:rPr>
        <w:t xml:space="preserve"> </w:t>
      </w:r>
    </w:p>
    <w:p w14:paraId="3C25245E" w14:textId="77777777" w:rsidR="002832CA" w:rsidRDefault="002832CA" w:rsidP="002832CA">
      <w:pPr>
        <w:rPr>
          <w:lang w:val="en-US"/>
        </w:rPr>
      </w:pPr>
    </w:p>
    <w:p w14:paraId="77F10110" w14:textId="0970EAD6" w:rsidR="002832CA" w:rsidRDefault="004379AD" w:rsidP="002832CA">
      <w:pPr>
        <w:pStyle w:val="ListParagraph"/>
        <w:spacing w:before="120"/>
        <w:ind w:left="0"/>
        <w:rPr>
          <w:b/>
          <w:szCs w:val="20"/>
          <w:u w:val="single"/>
          <w:lang w:val="en-US"/>
        </w:rPr>
      </w:pPr>
      <w:r>
        <w:rPr>
          <w:b/>
          <w:szCs w:val="20"/>
          <w:u w:val="single"/>
          <w:lang w:val="en-US"/>
        </w:rPr>
        <w:t xml:space="preserve">Proposal </w:t>
      </w:r>
      <w:r w:rsidR="00E17986">
        <w:rPr>
          <w:b/>
          <w:szCs w:val="20"/>
          <w:u w:val="single"/>
          <w:lang w:val="en-US"/>
        </w:rPr>
        <w:t>4</w:t>
      </w:r>
    </w:p>
    <w:p w14:paraId="73C2B79F" w14:textId="77777777" w:rsidR="002832CA" w:rsidRDefault="002832CA" w:rsidP="002832CA">
      <w:pPr>
        <w:pStyle w:val="ListParagraph"/>
        <w:spacing w:before="120"/>
        <w:ind w:left="0"/>
        <w:rPr>
          <w:b/>
          <w:szCs w:val="20"/>
          <w:u w:val="single"/>
          <w:lang w:val="en-US"/>
        </w:rPr>
      </w:pPr>
    </w:p>
    <w:p w14:paraId="791ED7D3" w14:textId="1DF5AD4E" w:rsidR="002832CA" w:rsidRPr="001D4A64" w:rsidRDefault="004379AD" w:rsidP="002832CA">
      <w:pPr>
        <w:pStyle w:val="ListParagraph"/>
        <w:spacing w:before="120"/>
        <w:ind w:left="0"/>
        <w:rPr>
          <w:b/>
          <w:i/>
          <w:szCs w:val="20"/>
          <w:lang w:val="en-US"/>
        </w:rPr>
      </w:pPr>
      <w:r>
        <w:rPr>
          <w:b/>
          <w:i/>
          <w:szCs w:val="20"/>
          <w:lang w:val="en-US"/>
        </w:rPr>
        <w:t>To meet OCB requirements for NR-unlicensed operation, enhance PUCCH resource sets before dedicated PUCCH resource configuration (i.e. during initial access) to support multi-PRB transmission</w:t>
      </w:r>
      <w:r w:rsidR="002832CA" w:rsidRPr="001D4A64">
        <w:rPr>
          <w:b/>
          <w:i/>
          <w:szCs w:val="20"/>
          <w:lang w:val="en-US"/>
        </w:rPr>
        <w:t>.</w:t>
      </w:r>
    </w:p>
    <w:p w14:paraId="2F4AC099" w14:textId="77777777" w:rsidR="002832CA" w:rsidRPr="001D4A64" w:rsidRDefault="002832CA" w:rsidP="002832CA">
      <w:pPr>
        <w:pStyle w:val="ListParagraph"/>
        <w:spacing w:before="120"/>
        <w:ind w:left="0"/>
        <w:rPr>
          <w:b/>
          <w:szCs w:val="20"/>
          <w:lang w:val="en-US"/>
        </w:rPr>
      </w:pPr>
    </w:p>
    <w:p w14:paraId="61CB8CAA" w14:textId="77777777" w:rsidR="002832CA" w:rsidRPr="00E56DBC" w:rsidRDefault="002832CA" w:rsidP="002832CA">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t>Conclusion</w:t>
      </w:r>
    </w:p>
    <w:p w14:paraId="58E042DA" w14:textId="13FC81EF" w:rsidR="002832CA" w:rsidRDefault="002832CA" w:rsidP="002832CA">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 xml:space="preserve">potential enhancements to NR initial access </w:t>
      </w:r>
      <w:r w:rsidR="00D900ED">
        <w:rPr>
          <w:rFonts w:ascii="Times New Roman" w:hAnsi="Times New Roman"/>
          <w:bCs/>
          <w:lang w:val="en-US"/>
        </w:rPr>
        <w:t xml:space="preserve">signals/channels </w:t>
      </w:r>
      <w:r w:rsidRPr="00E56DBC">
        <w:rPr>
          <w:rFonts w:ascii="Times New Roman" w:hAnsi="Times New Roman"/>
          <w:bCs/>
          <w:lang w:val="en-US"/>
        </w:rPr>
        <w:t>to support unlicensed operation are discussed. To this end, the following proposals are driven:</w:t>
      </w:r>
    </w:p>
    <w:p w14:paraId="2E719105" w14:textId="77777777" w:rsidR="002832CA" w:rsidRPr="00E56DBC" w:rsidRDefault="002832CA" w:rsidP="002832CA">
      <w:pPr>
        <w:overflowPunct w:val="0"/>
        <w:autoSpaceDE w:val="0"/>
        <w:autoSpaceDN w:val="0"/>
        <w:adjustRightInd w:val="0"/>
        <w:spacing w:after="0"/>
        <w:rPr>
          <w:rFonts w:ascii="Times New Roman" w:hAnsi="Times New Roman"/>
        </w:rPr>
      </w:pPr>
    </w:p>
    <w:p w14:paraId="55D52EE7"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26F4F4ED" w14:textId="77777777" w:rsidR="00F11B96" w:rsidRPr="00F11B96" w:rsidRDefault="00F11B96" w:rsidP="00F11B96">
      <w:pPr>
        <w:rPr>
          <w:b/>
          <w:i/>
        </w:rPr>
      </w:pPr>
      <w:r w:rsidRPr="00F11B96">
        <w:rPr>
          <w:b/>
          <w:i/>
        </w:rPr>
        <w:t>Consider locating RMSI CORESET for the first SSB before the SSB within the slot</w:t>
      </w:r>
    </w:p>
    <w:p w14:paraId="1BAD3C45" w14:textId="77777777" w:rsidR="004F7B93" w:rsidRDefault="004F7B93" w:rsidP="002832CA">
      <w:pPr>
        <w:pStyle w:val="ListParagraph"/>
        <w:spacing w:before="120"/>
        <w:ind w:left="0"/>
        <w:rPr>
          <w:b/>
          <w:szCs w:val="20"/>
          <w:u w:val="single"/>
          <w:lang w:val="en-US"/>
        </w:rPr>
      </w:pPr>
    </w:p>
    <w:p w14:paraId="7B40E531" w14:textId="45E9FA86" w:rsidR="002832CA" w:rsidRDefault="002832CA" w:rsidP="002832CA">
      <w:pPr>
        <w:pStyle w:val="ListParagraph"/>
        <w:spacing w:before="120"/>
        <w:ind w:left="0"/>
        <w:rPr>
          <w:b/>
          <w:szCs w:val="20"/>
          <w:u w:val="single"/>
          <w:lang w:val="en-US"/>
        </w:rPr>
      </w:pPr>
      <w:r w:rsidRPr="0089620D">
        <w:rPr>
          <w:b/>
          <w:szCs w:val="20"/>
          <w:u w:val="single"/>
          <w:lang w:val="en-US"/>
        </w:rPr>
        <w:t xml:space="preserve">Proposal </w:t>
      </w:r>
      <w:r w:rsidR="004F7B93">
        <w:rPr>
          <w:b/>
          <w:szCs w:val="20"/>
          <w:u w:val="single"/>
          <w:lang w:val="en-US"/>
        </w:rPr>
        <w:t>2</w:t>
      </w:r>
    </w:p>
    <w:p w14:paraId="03A57DB1" w14:textId="77777777" w:rsidR="002832CA" w:rsidRDefault="002832CA" w:rsidP="002832CA">
      <w:pPr>
        <w:pStyle w:val="ListParagraph"/>
        <w:spacing w:before="120"/>
        <w:ind w:left="0"/>
        <w:rPr>
          <w:b/>
          <w:szCs w:val="20"/>
          <w:u w:val="single"/>
          <w:lang w:val="en-US"/>
        </w:rPr>
      </w:pPr>
    </w:p>
    <w:p w14:paraId="794552B7" w14:textId="1D4C8E30" w:rsidR="001562B6" w:rsidRDefault="00D900ED" w:rsidP="001562B6">
      <w:pPr>
        <w:pStyle w:val="ListParagraph"/>
        <w:spacing w:before="120"/>
        <w:ind w:left="0"/>
        <w:rPr>
          <w:b/>
          <w:i/>
          <w:szCs w:val="20"/>
          <w:lang w:val="en-US"/>
        </w:rPr>
      </w:pPr>
      <w:r w:rsidRPr="00275724">
        <w:rPr>
          <w:b/>
          <w:i/>
          <w:szCs w:val="20"/>
          <w:lang w:val="en-US"/>
        </w:rPr>
        <w:t>Support only NR short PRACH formats (L=139) when temporal allowance of 2 MHz OCB is allowed by regulation</w:t>
      </w:r>
      <w:r w:rsidR="001562B6" w:rsidRPr="001D4A64">
        <w:rPr>
          <w:b/>
          <w:i/>
          <w:szCs w:val="20"/>
          <w:lang w:val="en-US"/>
        </w:rPr>
        <w:t>.</w:t>
      </w:r>
    </w:p>
    <w:p w14:paraId="1CF78F4C" w14:textId="77777777" w:rsidR="00D900ED" w:rsidRDefault="00D900ED" w:rsidP="001562B6">
      <w:pPr>
        <w:pStyle w:val="ListParagraph"/>
        <w:spacing w:before="120"/>
        <w:ind w:left="0"/>
        <w:rPr>
          <w:b/>
          <w:i/>
          <w:szCs w:val="20"/>
          <w:lang w:val="en-US"/>
        </w:rPr>
      </w:pPr>
    </w:p>
    <w:p w14:paraId="60411180" w14:textId="03FCE59C" w:rsidR="00D900ED" w:rsidRDefault="004F7B93" w:rsidP="001562B6">
      <w:pPr>
        <w:pStyle w:val="ListParagraph"/>
        <w:spacing w:before="120"/>
        <w:ind w:left="0"/>
        <w:rPr>
          <w:b/>
          <w:szCs w:val="20"/>
          <w:u w:val="single"/>
          <w:lang w:val="en-US"/>
        </w:rPr>
      </w:pPr>
      <w:r>
        <w:rPr>
          <w:b/>
          <w:szCs w:val="20"/>
          <w:u w:val="single"/>
          <w:lang w:val="en-US"/>
        </w:rPr>
        <w:t>Proposal 3</w:t>
      </w:r>
    </w:p>
    <w:p w14:paraId="25F8A21B" w14:textId="77777777" w:rsidR="00D900ED" w:rsidRDefault="00D900ED" w:rsidP="001562B6">
      <w:pPr>
        <w:pStyle w:val="ListParagraph"/>
        <w:spacing w:before="120"/>
        <w:ind w:left="0"/>
        <w:rPr>
          <w:b/>
          <w:szCs w:val="20"/>
          <w:u w:val="single"/>
          <w:lang w:val="en-US"/>
        </w:rPr>
      </w:pPr>
    </w:p>
    <w:p w14:paraId="0F4F647D" w14:textId="77777777" w:rsidR="00D900ED" w:rsidRPr="00275724" w:rsidRDefault="00D900ED" w:rsidP="00D900ED">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6F078A3E" w14:textId="17576B5F" w:rsidR="00D900ED" w:rsidRDefault="00D900ED" w:rsidP="002F3CD8">
      <w:pPr>
        <w:pStyle w:val="ListParagraph"/>
        <w:numPr>
          <w:ilvl w:val="0"/>
          <w:numId w:val="22"/>
        </w:numPr>
        <w:spacing w:before="120"/>
        <w:rPr>
          <w:b/>
          <w:szCs w:val="20"/>
          <w:u w:val="single"/>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r>
        <w:rPr>
          <w:b/>
          <w:i/>
          <w:szCs w:val="20"/>
          <w:lang w:val="en-US"/>
        </w:rPr>
        <w:t>.</w:t>
      </w:r>
    </w:p>
    <w:p w14:paraId="479CAE4C" w14:textId="77777777" w:rsidR="00E17986" w:rsidRDefault="00E17986" w:rsidP="00D900ED">
      <w:pPr>
        <w:pStyle w:val="ListParagraph"/>
        <w:spacing w:before="120"/>
        <w:ind w:left="0"/>
        <w:rPr>
          <w:b/>
          <w:szCs w:val="20"/>
          <w:u w:val="single"/>
          <w:lang w:val="en-US"/>
        </w:rPr>
      </w:pPr>
    </w:p>
    <w:p w14:paraId="69329AE0" w14:textId="44AB71FE" w:rsidR="00D900ED" w:rsidRDefault="004F7B93" w:rsidP="00D900ED">
      <w:pPr>
        <w:pStyle w:val="ListParagraph"/>
        <w:spacing w:before="120"/>
        <w:ind w:left="0"/>
        <w:rPr>
          <w:b/>
          <w:szCs w:val="20"/>
          <w:u w:val="single"/>
          <w:lang w:val="en-US"/>
        </w:rPr>
      </w:pPr>
      <w:r>
        <w:rPr>
          <w:b/>
          <w:szCs w:val="20"/>
          <w:u w:val="single"/>
          <w:lang w:val="en-US"/>
        </w:rPr>
        <w:t xml:space="preserve">Proposal </w:t>
      </w:r>
      <w:r w:rsidR="00E17986">
        <w:rPr>
          <w:b/>
          <w:szCs w:val="20"/>
          <w:u w:val="single"/>
          <w:lang w:val="en-US"/>
        </w:rPr>
        <w:t>4</w:t>
      </w:r>
    </w:p>
    <w:p w14:paraId="556C6C0D" w14:textId="77777777" w:rsidR="00D900ED" w:rsidRDefault="00D900ED" w:rsidP="00D900ED">
      <w:pPr>
        <w:pStyle w:val="ListParagraph"/>
        <w:spacing w:before="120"/>
        <w:ind w:left="0"/>
        <w:rPr>
          <w:b/>
          <w:szCs w:val="20"/>
          <w:u w:val="single"/>
          <w:lang w:val="en-US"/>
        </w:rPr>
      </w:pPr>
    </w:p>
    <w:p w14:paraId="104083C8" w14:textId="3B79FF0C" w:rsidR="00D900ED" w:rsidRPr="0089620D" w:rsidRDefault="00D900ED" w:rsidP="00D900ED">
      <w:pPr>
        <w:pStyle w:val="ListParagraph"/>
        <w:spacing w:before="120"/>
        <w:ind w:left="0"/>
        <w:rPr>
          <w:u w:val="single"/>
          <w:lang w:val="en-US"/>
        </w:rPr>
      </w:pPr>
      <w:r>
        <w:rPr>
          <w:b/>
          <w:i/>
          <w:szCs w:val="20"/>
          <w:lang w:val="en-US"/>
        </w:rPr>
        <w:t>To meet OCB requirements for NR-unlicensed operation, enhance PUCCH resource sets before dedicated PUCCH resource configuration (i.e. during initial access) to support multi-PRB transmission</w:t>
      </w:r>
      <w:r w:rsidRPr="001D4A64">
        <w:rPr>
          <w:b/>
          <w:i/>
          <w:szCs w:val="20"/>
          <w:lang w:val="en-US"/>
        </w:rPr>
        <w:t>.</w:t>
      </w:r>
    </w:p>
    <w:p w14:paraId="0D0A0877" w14:textId="77777777" w:rsidR="002832CA" w:rsidRPr="00E56DBC" w:rsidRDefault="002832CA" w:rsidP="002832CA">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2" w:name="_Reference"/>
      <w:bookmarkEnd w:id="2"/>
      <w:r w:rsidRPr="00E56DBC">
        <w:rPr>
          <w:rFonts w:ascii="Times New Roman" w:hAnsi="Times New Roman" w:cs="Times New Roman"/>
          <w:sz w:val="28"/>
          <w:lang w:val="en-US"/>
        </w:rPr>
        <w:t>Reference</w:t>
      </w:r>
    </w:p>
    <w:p w14:paraId="399E94CC" w14:textId="77777777" w:rsidR="00521EDE" w:rsidRPr="00983504" w:rsidRDefault="00521EDE" w:rsidP="00521EDE">
      <w:pPr>
        <w:pStyle w:val="BodyText"/>
        <w:numPr>
          <w:ilvl w:val="0"/>
          <w:numId w:val="7"/>
        </w:numPr>
        <w:overflowPunct w:val="0"/>
        <w:textAlignment w:val="baseline"/>
        <w:rPr>
          <w:rFonts w:ascii="Times New Roman" w:hAnsi="Times New Roman"/>
          <w:szCs w:val="20"/>
          <w:lang w:eastAsia="zh-CN"/>
        </w:rPr>
      </w:pPr>
      <w:bookmarkStart w:id="3" w:name="_Ref534969129"/>
      <w:r w:rsidRPr="00EF0B9F">
        <w:rPr>
          <w:rFonts w:ascii="Times New Roman" w:hAnsi="Times New Roman"/>
          <w:szCs w:val="20"/>
          <w:lang w:eastAsia="zh-CN"/>
        </w:rPr>
        <w:t>RP-182878, “New WID on NR-based Access to Unlicensed Spectrum”, 3GPP TSG RAN Meeting #82, Dec. 2018</w:t>
      </w:r>
    </w:p>
    <w:p w14:paraId="2BEA0F5D" w14:textId="7CA80132" w:rsidR="00FE5E1C" w:rsidRDefault="00521EDE" w:rsidP="00E17986">
      <w:pPr>
        <w:pStyle w:val="BodyText"/>
        <w:numPr>
          <w:ilvl w:val="0"/>
          <w:numId w:val="7"/>
        </w:numPr>
        <w:overflowPunct w:val="0"/>
        <w:textAlignment w:val="baseline"/>
        <w:rPr>
          <w:rFonts w:ascii="Times New Roman" w:hAnsi="Times New Roman"/>
          <w:szCs w:val="20"/>
          <w:lang w:eastAsia="zh-CN"/>
        </w:rPr>
      </w:pPr>
      <w:r w:rsidRPr="004730E5">
        <w:rPr>
          <w:rFonts w:ascii="Times New Roman" w:hAnsi="Times New Roman"/>
          <w:szCs w:val="20"/>
          <w:lang w:eastAsia="zh-CN"/>
        </w:rPr>
        <w:t>3GPP TR 38.889 v0.3.0, “Study on NR-based Access to Unlicensed Spectrum (Release 16)”, Nov. 2018</w:t>
      </w:r>
      <w:bookmarkEnd w:id="3"/>
    </w:p>
    <w:p w14:paraId="74BBF70A" w14:textId="6C9EECC5" w:rsidR="00336DF9" w:rsidRPr="00E17986" w:rsidRDefault="00336DF9" w:rsidP="00E17986">
      <w:pPr>
        <w:pStyle w:val="BodyText"/>
        <w:numPr>
          <w:ilvl w:val="0"/>
          <w:numId w:val="7"/>
        </w:numPr>
        <w:overflowPunct w:val="0"/>
        <w:textAlignment w:val="baseline"/>
        <w:rPr>
          <w:rFonts w:ascii="Times New Roman" w:hAnsi="Times New Roman"/>
          <w:szCs w:val="20"/>
          <w:lang w:eastAsia="zh-CN"/>
        </w:rPr>
      </w:pPr>
      <w:r>
        <w:rPr>
          <w:rFonts w:ascii="Times New Roman" w:hAnsi="Times New Roman"/>
          <w:szCs w:val="20"/>
          <w:lang w:eastAsia="zh-CN"/>
        </w:rPr>
        <w:t xml:space="preserve">Chairman’s note, </w:t>
      </w:r>
      <w:r w:rsidR="00BB3D4F">
        <w:rPr>
          <w:rFonts w:ascii="Times New Roman" w:hAnsi="Times New Roman"/>
          <w:szCs w:val="20"/>
          <w:lang w:eastAsia="zh-CN"/>
        </w:rPr>
        <w:t xml:space="preserve">3GPP TSG RAN WG1 </w:t>
      </w:r>
      <w:proofErr w:type="spellStart"/>
      <w:r w:rsidR="00BB3D4F">
        <w:rPr>
          <w:rFonts w:ascii="Times New Roman" w:hAnsi="Times New Roman"/>
          <w:szCs w:val="20"/>
          <w:lang w:eastAsia="zh-CN"/>
        </w:rPr>
        <w:t>AdHoc</w:t>
      </w:r>
      <w:proofErr w:type="spellEnd"/>
      <w:r w:rsidR="00BB3D4F">
        <w:rPr>
          <w:rFonts w:ascii="Times New Roman" w:hAnsi="Times New Roman"/>
          <w:szCs w:val="20"/>
          <w:lang w:eastAsia="zh-CN"/>
        </w:rPr>
        <w:t xml:space="preserve"> 1901 Meeting, Jan. 2019</w:t>
      </w:r>
    </w:p>
    <w:p w14:paraId="06210E1D" w14:textId="003DA5A8" w:rsidR="00A17291" w:rsidRDefault="00A17291" w:rsidP="00636D36">
      <w:pPr>
        <w:pStyle w:val="BodyText"/>
        <w:numPr>
          <w:ilvl w:val="0"/>
          <w:numId w:val="7"/>
        </w:numPr>
        <w:overflowPunct w:val="0"/>
        <w:textAlignment w:val="baseline"/>
        <w:rPr>
          <w:rFonts w:ascii="Times New Roman" w:hAnsi="Times New Roman"/>
          <w:szCs w:val="20"/>
          <w:lang w:eastAsia="zh-CN"/>
        </w:rPr>
      </w:pPr>
      <w:r>
        <w:rPr>
          <w:rFonts w:ascii="Times New Roman" w:hAnsi="Times New Roman"/>
          <w:bCs/>
          <w:color w:val="000000"/>
          <w:szCs w:val="20"/>
        </w:rPr>
        <w:t>3GPP TS 38.213 v15.2.0, “Physical layer procedures for control (Release 15)”, Jun. 2018</w:t>
      </w:r>
    </w:p>
    <w:p w14:paraId="62E7B331" w14:textId="6A7F92C4" w:rsidR="004730E5" w:rsidRPr="004E65AD" w:rsidRDefault="004730E5" w:rsidP="00FE5E1C">
      <w:pPr>
        <w:pStyle w:val="BodyText"/>
        <w:overflowPunct w:val="0"/>
        <w:ind w:left="450"/>
        <w:textAlignment w:val="baseline"/>
        <w:rPr>
          <w:rFonts w:ascii="Times New Roman" w:hAnsi="Times New Roman"/>
          <w:szCs w:val="20"/>
          <w:lang w:eastAsia="zh-CN"/>
        </w:rPr>
      </w:pPr>
    </w:p>
    <w:p w14:paraId="4A596796" w14:textId="77777777" w:rsidR="004730E5" w:rsidRPr="00983504" w:rsidRDefault="004730E5" w:rsidP="004730E5">
      <w:pPr>
        <w:pStyle w:val="BodyText"/>
        <w:overflowPunct w:val="0"/>
        <w:ind w:left="450"/>
        <w:textAlignment w:val="baseline"/>
        <w:rPr>
          <w:rFonts w:ascii="Times New Roman" w:hAnsi="Times New Roman"/>
          <w:szCs w:val="20"/>
          <w:lang w:eastAsia="zh-CN"/>
        </w:rPr>
      </w:pPr>
    </w:p>
    <w:p w14:paraId="4F31D6D9" w14:textId="110E5AEC" w:rsidR="00CA5737" w:rsidRDefault="00CA5737" w:rsidP="002832CA"/>
    <w:sectPr w:rsidR="00CA5737"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F48FA" w14:textId="77777777" w:rsidR="00F0600C" w:rsidRDefault="00F0600C"/>
  </w:endnote>
  <w:endnote w:type="continuationSeparator" w:id="0">
    <w:p w14:paraId="3E6BBC08" w14:textId="77777777" w:rsidR="00F0600C" w:rsidRDefault="00F06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A3B25" w:rsidRDefault="009A3B25">
    <w:pPr>
      <w:pStyle w:val="Footer"/>
    </w:pPr>
  </w:p>
  <w:p w14:paraId="43FA2102" w14:textId="77777777" w:rsidR="009A3B25" w:rsidRDefault="009A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11EB1" w14:textId="77777777" w:rsidR="00F0600C" w:rsidRDefault="00F0600C"/>
  </w:footnote>
  <w:footnote w:type="continuationSeparator" w:id="0">
    <w:p w14:paraId="2B11F293" w14:textId="77777777" w:rsidR="00F0600C" w:rsidRDefault="00F0600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31E81"/>
    <w:multiLevelType w:val="hybridMultilevel"/>
    <w:tmpl w:val="C23E7C72"/>
    <w:lvl w:ilvl="0" w:tplc="B8E0DC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18"/>
  </w:num>
  <w:num w:numId="3">
    <w:abstractNumId w:val="2"/>
  </w:num>
  <w:num w:numId="4">
    <w:abstractNumId w:val="0"/>
  </w:num>
  <w:num w:numId="5">
    <w:abstractNumId w:val="14"/>
  </w:num>
  <w:num w:numId="6">
    <w:abstractNumId w:val="3"/>
  </w:num>
  <w:num w:numId="7">
    <w:abstractNumId w:val="25"/>
  </w:num>
  <w:num w:numId="8">
    <w:abstractNumId w:val="24"/>
  </w:num>
  <w:num w:numId="9">
    <w:abstractNumId w:val="7"/>
  </w:num>
  <w:num w:numId="10">
    <w:abstractNumId w:val="5"/>
  </w:num>
  <w:num w:numId="11">
    <w:abstractNumId w:val="20"/>
  </w:num>
  <w:num w:numId="12">
    <w:abstractNumId w:val="11"/>
  </w:num>
  <w:num w:numId="13">
    <w:abstractNumId w:val="13"/>
  </w:num>
  <w:num w:numId="14">
    <w:abstractNumId w:val="1"/>
  </w:num>
  <w:num w:numId="15">
    <w:abstractNumId w:val="9"/>
  </w:num>
  <w:num w:numId="16">
    <w:abstractNumId w:val="6"/>
  </w:num>
  <w:num w:numId="17">
    <w:abstractNumId w:val="8"/>
  </w:num>
  <w:num w:numId="18">
    <w:abstractNumId w:val="4"/>
  </w:num>
  <w:num w:numId="19">
    <w:abstractNumId w:val="16"/>
  </w:num>
  <w:num w:numId="20">
    <w:abstractNumId w:val="19"/>
  </w:num>
  <w:num w:numId="21">
    <w:abstractNumId w:val="17"/>
  </w:num>
  <w:num w:numId="22">
    <w:abstractNumId w:val="15"/>
  </w:num>
  <w:num w:numId="23">
    <w:abstractNumId w:val="22"/>
  </w:num>
  <w:num w:numId="24">
    <w:abstractNumId w:val="23"/>
  </w:num>
  <w:num w:numId="25">
    <w:abstractNumId w:val="10"/>
  </w:num>
  <w:num w:numId="2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EA3"/>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770"/>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33B"/>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5A4"/>
    <w:rsid w:val="000A69EC"/>
    <w:rsid w:val="000A6C22"/>
    <w:rsid w:val="000A6E36"/>
    <w:rsid w:val="000A7737"/>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C36"/>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7D3"/>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19BB"/>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7CC"/>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6B4"/>
    <w:rsid w:val="0015385D"/>
    <w:rsid w:val="0015479F"/>
    <w:rsid w:val="001549BD"/>
    <w:rsid w:val="00155370"/>
    <w:rsid w:val="001553A5"/>
    <w:rsid w:val="0015601D"/>
    <w:rsid w:val="001562B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058"/>
    <w:rsid w:val="001672C7"/>
    <w:rsid w:val="001679AF"/>
    <w:rsid w:val="00167ACC"/>
    <w:rsid w:val="00167B28"/>
    <w:rsid w:val="00167D00"/>
    <w:rsid w:val="00167D6E"/>
    <w:rsid w:val="00167E42"/>
    <w:rsid w:val="0017046A"/>
    <w:rsid w:val="001719AA"/>
    <w:rsid w:val="0017275A"/>
    <w:rsid w:val="00172D44"/>
    <w:rsid w:val="00172FF5"/>
    <w:rsid w:val="0017324A"/>
    <w:rsid w:val="00173597"/>
    <w:rsid w:val="00173F96"/>
    <w:rsid w:val="0017422D"/>
    <w:rsid w:val="00174385"/>
    <w:rsid w:val="00174630"/>
    <w:rsid w:val="0017481C"/>
    <w:rsid w:val="00174B89"/>
    <w:rsid w:val="00174BA3"/>
    <w:rsid w:val="001751E8"/>
    <w:rsid w:val="0017557F"/>
    <w:rsid w:val="001762F8"/>
    <w:rsid w:val="001766CD"/>
    <w:rsid w:val="001768BE"/>
    <w:rsid w:val="00177778"/>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860"/>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0E3"/>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D45"/>
    <w:rsid w:val="00210E57"/>
    <w:rsid w:val="00211A1A"/>
    <w:rsid w:val="00211D96"/>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766"/>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2D4"/>
    <w:rsid w:val="00255661"/>
    <w:rsid w:val="00255730"/>
    <w:rsid w:val="002568A9"/>
    <w:rsid w:val="0025704F"/>
    <w:rsid w:val="0025709F"/>
    <w:rsid w:val="002573A0"/>
    <w:rsid w:val="00257F65"/>
    <w:rsid w:val="0026035B"/>
    <w:rsid w:val="002617B2"/>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2CA"/>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81"/>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1C8"/>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3CD8"/>
    <w:rsid w:val="002F45BB"/>
    <w:rsid w:val="002F4C62"/>
    <w:rsid w:val="002F53C0"/>
    <w:rsid w:val="002F583C"/>
    <w:rsid w:val="002F586B"/>
    <w:rsid w:val="002F5BA4"/>
    <w:rsid w:val="002F67FD"/>
    <w:rsid w:val="002F6959"/>
    <w:rsid w:val="002F6DF0"/>
    <w:rsid w:val="002F78AD"/>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BD7"/>
    <w:rsid w:val="00332D29"/>
    <w:rsid w:val="00333448"/>
    <w:rsid w:val="0033350E"/>
    <w:rsid w:val="003337F4"/>
    <w:rsid w:val="003338B1"/>
    <w:rsid w:val="0033422F"/>
    <w:rsid w:val="00334DC0"/>
    <w:rsid w:val="003351B9"/>
    <w:rsid w:val="003359F0"/>
    <w:rsid w:val="00336DF9"/>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6895"/>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95"/>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0B7E"/>
    <w:rsid w:val="003A17B9"/>
    <w:rsid w:val="003A1ACF"/>
    <w:rsid w:val="003A22C7"/>
    <w:rsid w:val="003A42FD"/>
    <w:rsid w:val="003A75CA"/>
    <w:rsid w:val="003B00DD"/>
    <w:rsid w:val="003B014E"/>
    <w:rsid w:val="003B01FC"/>
    <w:rsid w:val="003B0A0E"/>
    <w:rsid w:val="003B0B8D"/>
    <w:rsid w:val="003B13C4"/>
    <w:rsid w:val="003B1EC7"/>
    <w:rsid w:val="003B26F6"/>
    <w:rsid w:val="003B2A41"/>
    <w:rsid w:val="003B3910"/>
    <w:rsid w:val="003B4A5C"/>
    <w:rsid w:val="003B5073"/>
    <w:rsid w:val="003B5CDD"/>
    <w:rsid w:val="003B5FF4"/>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4E7C"/>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B7C"/>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17747"/>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9AD"/>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3FB7"/>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0E5"/>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D53"/>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B7B0F"/>
    <w:rsid w:val="004C06E5"/>
    <w:rsid w:val="004C0D34"/>
    <w:rsid w:val="004C0EDC"/>
    <w:rsid w:val="004C1217"/>
    <w:rsid w:val="004C132D"/>
    <w:rsid w:val="004C1CED"/>
    <w:rsid w:val="004C203B"/>
    <w:rsid w:val="004C2410"/>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4F7B93"/>
    <w:rsid w:val="005005ED"/>
    <w:rsid w:val="00500FE4"/>
    <w:rsid w:val="00501866"/>
    <w:rsid w:val="00501938"/>
    <w:rsid w:val="00501A38"/>
    <w:rsid w:val="00501C3C"/>
    <w:rsid w:val="00501EFC"/>
    <w:rsid w:val="00502B77"/>
    <w:rsid w:val="00503B00"/>
    <w:rsid w:val="00504340"/>
    <w:rsid w:val="00504463"/>
    <w:rsid w:val="00504486"/>
    <w:rsid w:val="0050465E"/>
    <w:rsid w:val="00504964"/>
    <w:rsid w:val="00505B57"/>
    <w:rsid w:val="00505F71"/>
    <w:rsid w:val="0050613C"/>
    <w:rsid w:val="00506756"/>
    <w:rsid w:val="00506D64"/>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B50"/>
    <w:rsid w:val="00520193"/>
    <w:rsid w:val="00520A19"/>
    <w:rsid w:val="00520D70"/>
    <w:rsid w:val="005211AE"/>
    <w:rsid w:val="0052120D"/>
    <w:rsid w:val="00521EDE"/>
    <w:rsid w:val="00522312"/>
    <w:rsid w:val="0052481B"/>
    <w:rsid w:val="00524923"/>
    <w:rsid w:val="00524E8F"/>
    <w:rsid w:val="00525484"/>
    <w:rsid w:val="005263CB"/>
    <w:rsid w:val="00526CE7"/>
    <w:rsid w:val="00527F4B"/>
    <w:rsid w:val="00530836"/>
    <w:rsid w:val="00530D0D"/>
    <w:rsid w:val="0053124F"/>
    <w:rsid w:val="00532077"/>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2BC9"/>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2BF3"/>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3F63"/>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842"/>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4EC5"/>
    <w:rsid w:val="005B57F7"/>
    <w:rsid w:val="005B5911"/>
    <w:rsid w:val="005B64CB"/>
    <w:rsid w:val="005B678E"/>
    <w:rsid w:val="005B7069"/>
    <w:rsid w:val="005B7362"/>
    <w:rsid w:val="005B7A26"/>
    <w:rsid w:val="005C0049"/>
    <w:rsid w:val="005C02E3"/>
    <w:rsid w:val="005C0F28"/>
    <w:rsid w:val="005C0FD1"/>
    <w:rsid w:val="005C135E"/>
    <w:rsid w:val="005C17A7"/>
    <w:rsid w:val="005C1802"/>
    <w:rsid w:val="005C235D"/>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544"/>
    <w:rsid w:val="006159E7"/>
    <w:rsid w:val="00615B58"/>
    <w:rsid w:val="00615E49"/>
    <w:rsid w:val="00616541"/>
    <w:rsid w:val="0061682B"/>
    <w:rsid w:val="0061714F"/>
    <w:rsid w:val="006179AA"/>
    <w:rsid w:val="00617EDD"/>
    <w:rsid w:val="00620832"/>
    <w:rsid w:val="0062088B"/>
    <w:rsid w:val="0062096C"/>
    <w:rsid w:val="00620A95"/>
    <w:rsid w:val="00620CE1"/>
    <w:rsid w:val="0062123B"/>
    <w:rsid w:val="006212E3"/>
    <w:rsid w:val="00622731"/>
    <w:rsid w:val="00622EF4"/>
    <w:rsid w:val="00623807"/>
    <w:rsid w:val="00623AFF"/>
    <w:rsid w:val="00623DBA"/>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6D36"/>
    <w:rsid w:val="0063707D"/>
    <w:rsid w:val="00637105"/>
    <w:rsid w:val="006374E0"/>
    <w:rsid w:val="006375DC"/>
    <w:rsid w:val="00637858"/>
    <w:rsid w:val="00637A00"/>
    <w:rsid w:val="00640083"/>
    <w:rsid w:val="0064011F"/>
    <w:rsid w:val="006401A9"/>
    <w:rsid w:val="0064085D"/>
    <w:rsid w:val="00640D4F"/>
    <w:rsid w:val="00640DA8"/>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F6B"/>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92E"/>
    <w:rsid w:val="00677BF1"/>
    <w:rsid w:val="00677C52"/>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5D"/>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B06"/>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3EA"/>
    <w:rsid w:val="007538B7"/>
    <w:rsid w:val="007540AB"/>
    <w:rsid w:val="00754B57"/>
    <w:rsid w:val="0075521A"/>
    <w:rsid w:val="007552F7"/>
    <w:rsid w:val="007554B9"/>
    <w:rsid w:val="0075565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A9E"/>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343"/>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78E"/>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47E7"/>
    <w:rsid w:val="0082529B"/>
    <w:rsid w:val="008258C7"/>
    <w:rsid w:val="008268E4"/>
    <w:rsid w:val="008309D8"/>
    <w:rsid w:val="00831738"/>
    <w:rsid w:val="008318C4"/>
    <w:rsid w:val="00831D91"/>
    <w:rsid w:val="00832961"/>
    <w:rsid w:val="00832FA7"/>
    <w:rsid w:val="0083389B"/>
    <w:rsid w:val="00834EC8"/>
    <w:rsid w:val="008350EE"/>
    <w:rsid w:val="008352C2"/>
    <w:rsid w:val="008357A9"/>
    <w:rsid w:val="00837654"/>
    <w:rsid w:val="00837B5A"/>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20D"/>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5F4"/>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A8B"/>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58E"/>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C39"/>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809EC"/>
    <w:rsid w:val="00980A63"/>
    <w:rsid w:val="00980D0B"/>
    <w:rsid w:val="00981077"/>
    <w:rsid w:val="00981CFF"/>
    <w:rsid w:val="00982BE8"/>
    <w:rsid w:val="00982DEB"/>
    <w:rsid w:val="00983246"/>
    <w:rsid w:val="00983504"/>
    <w:rsid w:val="00983B02"/>
    <w:rsid w:val="00983C1C"/>
    <w:rsid w:val="00983F69"/>
    <w:rsid w:val="00984277"/>
    <w:rsid w:val="009850F7"/>
    <w:rsid w:val="00987127"/>
    <w:rsid w:val="00987142"/>
    <w:rsid w:val="00987804"/>
    <w:rsid w:val="00987A06"/>
    <w:rsid w:val="00987C11"/>
    <w:rsid w:val="009906B1"/>
    <w:rsid w:val="00990AEF"/>
    <w:rsid w:val="009915A4"/>
    <w:rsid w:val="009920E7"/>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A49"/>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3F2"/>
    <w:rsid w:val="009E34CC"/>
    <w:rsid w:val="009E3912"/>
    <w:rsid w:val="009E41E6"/>
    <w:rsid w:val="009E48F7"/>
    <w:rsid w:val="009E4B68"/>
    <w:rsid w:val="009E50A7"/>
    <w:rsid w:val="009E50FD"/>
    <w:rsid w:val="009E5309"/>
    <w:rsid w:val="009E531C"/>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2A8"/>
    <w:rsid w:val="00A12FE9"/>
    <w:rsid w:val="00A13604"/>
    <w:rsid w:val="00A138D4"/>
    <w:rsid w:val="00A141FF"/>
    <w:rsid w:val="00A1470A"/>
    <w:rsid w:val="00A15EF0"/>
    <w:rsid w:val="00A16335"/>
    <w:rsid w:val="00A166AF"/>
    <w:rsid w:val="00A16B34"/>
    <w:rsid w:val="00A17291"/>
    <w:rsid w:val="00A175CD"/>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1DCA"/>
    <w:rsid w:val="00A62D94"/>
    <w:rsid w:val="00A63C1C"/>
    <w:rsid w:val="00A63ECD"/>
    <w:rsid w:val="00A64A3B"/>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5FC0"/>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0C1"/>
    <w:rsid w:val="00AB0D6C"/>
    <w:rsid w:val="00AB0E56"/>
    <w:rsid w:val="00AB1174"/>
    <w:rsid w:val="00AB1258"/>
    <w:rsid w:val="00AB1371"/>
    <w:rsid w:val="00AB3083"/>
    <w:rsid w:val="00AB30B3"/>
    <w:rsid w:val="00AB3648"/>
    <w:rsid w:val="00AB4C2C"/>
    <w:rsid w:val="00AB4F61"/>
    <w:rsid w:val="00AB5098"/>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6411"/>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078"/>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3D4F"/>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BF7F74"/>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759"/>
    <w:rsid w:val="00C31EE4"/>
    <w:rsid w:val="00C31F08"/>
    <w:rsid w:val="00C325A4"/>
    <w:rsid w:val="00C328E8"/>
    <w:rsid w:val="00C33067"/>
    <w:rsid w:val="00C331C3"/>
    <w:rsid w:val="00C34F06"/>
    <w:rsid w:val="00C35402"/>
    <w:rsid w:val="00C35492"/>
    <w:rsid w:val="00C36239"/>
    <w:rsid w:val="00C37487"/>
    <w:rsid w:val="00C37A7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47853"/>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66EA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3DEC"/>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737"/>
    <w:rsid w:val="00CA5F44"/>
    <w:rsid w:val="00CA6EA3"/>
    <w:rsid w:val="00CA6FBA"/>
    <w:rsid w:val="00CA7435"/>
    <w:rsid w:val="00CB02A6"/>
    <w:rsid w:val="00CB0316"/>
    <w:rsid w:val="00CB1ACF"/>
    <w:rsid w:val="00CB1E08"/>
    <w:rsid w:val="00CB312E"/>
    <w:rsid w:val="00CB3212"/>
    <w:rsid w:val="00CB331B"/>
    <w:rsid w:val="00CB3834"/>
    <w:rsid w:val="00CB39AC"/>
    <w:rsid w:val="00CB5FD1"/>
    <w:rsid w:val="00CB648D"/>
    <w:rsid w:val="00CB6538"/>
    <w:rsid w:val="00CB694B"/>
    <w:rsid w:val="00CB7014"/>
    <w:rsid w:val="00CB7541"/>
    <w:rsid w:val="00CB75BD"/>
    <w:rsid w:val="00CB7770"/>
    <w:rsid w:val="00CB7CFA"/>
    <w:rsid w:val="00CC2220"/>
    <w:rsid w:val="00CC30E9"/>
    <w:rsid w:val="00CC32CD"/>
    <w:rsid w:val="00CC3354"/>
    <w:rsid w:val="00CC33F9"/>
    <w:rsid w:val="00CC4C7A"/>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2AD"/>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17BF"/>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49D"/>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33B"/>
    <w:rsid w:val="00D154AA"/>
    <w:rsid w:val="00D15B36"/>
    <w:rsid w:val="00D1668C"/>
    <w:rsid w:val="00D16698"/>
    <w:rsid w:val="00D16B6C"/>
    <w:rsid w:val="00D17072"/>
    <w:rsid w:val="00D170A0"/>
    <w:rsid w:val="00D1737B"/>
    <w:rsid w:val="00D20C64"/>
    <w:rsid w:val="00D20E30"/>
    <w:rsid w:val="00D2146F"/>
    <w:rsid w:val="00D22860"/>
    <w:rsid w:val="00D23413"/>
    <w:rsid w:val="00D239C7"/>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1389"/>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0ED"/>
    <w:rsid w:val="00D908E6"/>
    <w:rsid w:val="00D909D3"/>
    <w:rsid w:val="00D90CF9"/>
    <w:rsid w:val="00D91788"/>
    <w:rsid w:val="00D91936"/>
    <w:rsid w:val="00D91CF1"/>
    <w:rsid w:val="00D91F05"/>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5D2"/>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986"/>
    <w:rsid w:val="00E202BD"/>
    <w:rsid w:val="00E20A77"/>
    <w:rsid w:val="00E20C30"/>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002"/>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3F7"/>
    <w:rsid w:val="00E366B2"/>
    <w:rsid w:val="00E3697F"/>
    <w:rsid w:val="00E37419"/>
    <w:rsid w:val="00E3758A"/>
    <w:rsid w:val="00E378EE"/>
    <w:rsid w:val="00E4005D"/>
    <w:rsid w:val="00E40BD2"/>
    <w:rsid w:val="00E40C58"/>
    <w:rsid w:val="00E40D5C"/>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3F40"/>
    <w:rsid w:val="00E5461E"/>
    <w:rsid w:val="00E55232"/>
    <w:rsid w:val="00E557CF"/>
    <w:rsid w:val="00E55813"/>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9BC"/>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4DBE"/>
    <w:rsid w:val="00EE522C"/>
    <w:rsid w:val="00EE6080"/>
    <w:rsid w:val="00EF08A5"/>
    <w:rsid w:val="00EF0B9F"/>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00C"/>
    <w:rsid w:val="00F0631F"/>
    <w:rsid w:val="00F06432"/>
    <w:rsid w:val="00F065F6"/>
    <w:rsid w:val="00F1085E"/>
    <w:rsid w:val="00F10DC5"/>
    <w:rsid w:val="00F11008"/>
    <w:rsid w:val="00F11B05"/>
    <w:rsid w:val="00F11B96"/>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576"/>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74D"/>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075F"/>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DB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31EC"/>
    <w:rsid w:val="00FB49DF"/>
    <w:rsid w:val="00FB4EAD"/>
    <w:rsid w:val="00FB4EBB"/>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1C"/>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20D"/>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 w:type="paragraph" w:customStyle="1" w:styleId="StyleHeading1H1h1appheading1l1MemoHeading1h11h12h13h">
    <w:name w:val="Style Heading 1H1h1app heading 1l1Memo Heading 1h11h12h13h..."/>
    <w:basedOn w:val="Heading1"/>
    <w:rsid w:val="00504964"/>
    <w:pPr>
      <w:keepNext w:val="0"/>
      <w:widowControl w:val="0"/>
      <w:numPr>
        <w:numId w:val="11"/>
      </w:numPr>
      <w:jc w:val="left"/>
    </w:pPr>
    <w:rPr>
      <w:rFonts w:ascii="Helvetica" w:eastAsia="Times New Roman" w:hAnsi="Helvetica" w:cs="Times New Roman"/>
      <w:sz w:val="28"/>
      <w:szCs w:val="20"/>
      <w:lang w:val="en-US"/>
    </w:rPr>
  </w:style>
  <w:style w:type="character" w:customStyle="1" w:styleId="5">
    <w:name w:val="(文字) (文字)5"/>
    <w:semiHidden/>
    <w:rsid w:val="00210D45"/>
    <w:rPr>
      <w:rFonts w:ascii="Times New Roman" w:hAnsi="Times New Roman"/>
      <w:lang w:eastAsia="en-US"/>
    </w:rPr>
  </w:style>
  <w:style w:type="paragraph" w:customStyle="1" w:styleId="1">
    <w:name w:val="样式1"/>
    <w:basedOn w:val="Normal"/>
    <w:qFormat/>
    <w:rsid w:val="005B64CB"/>
    <w:pPr>
      <w:keepNext/>
      <w:keepLines/>
      <w:numPr>
        <w:numId w:val="15"/>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1">
    <w:name w:val="B1"/>
    <w:basedOn w:val="List"/>
    <w:link w:val="B1Char"/>
    <w:qFormat/>
    <w:rsid w:val="00C328E8"/>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character" w:customStyle="1" w:styleId="B1Char">
    <w:name w:val="B1 Char"/>
    <w:link w:val="B1"/>
    <w:rsid w:val="00C328E8"/>
    <w:rPr>
      <w:rFonts w:eastAsia="Times New Roman"/>
      <w:lang w:val="en-GB" w:eastAsia="en-GB"/>
    </w:rPr>
  </w:style>
  <w:style w:type="paragraph" w:styleId="List">
    <w:name w:val="List"/>
    <w:basedOn w:val="Normal"/>
    <w:semiHidden/>
    <w:unhideWhenUsed/>
    <w:rsid w:val="00C328E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40E2EEC-524D-4710-8938-AAB701B55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425D87-41B3-4EF5-AF9E-5CCCC1BC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38</TotalTime>
  <Pages>4</Pages>
  <Words>1651</Words>
  <Characters>9184</Characters>
  <Application>Microsoft Office Word</Application>
  <DocSecurity>0</DocSecurity>
  <Lines>162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10792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11</cp:revision>
  <cp:lastPrinted>2017-10-24T05:18:00Z</cp:lastPrinted>
  <dcterms:created xsi:type="dcterms:W3CDTF">2019-02-15T00:15:00Z</dcterms:created>
  <dcterms:modified xsi:type="dcterms:W3CDTF">2019-02-16T04:49:00Z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24e690df-09be-47a4-aff7-6850ca0337d1</vt:lpwstr>
  </property>
  <property fmtid="{D5CDD505-2E9C-101B-9397-08002B2CF9AE}" pid="3" name="CTP_TimeStamp">
    <vt:lpwstr>2019-02-16 04:49:15Z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